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6BBC3">
      <w:pPr>
        <w:spacing w:line="440" w:lineRule="atLeast"/>
        <w:ind w:right="25" w:rightChars="12"/>
        <w:jc w:val="center"/>
        <w:rPr>
          <w:rFonts w:hint="eastAsia" w:ascii="宋体" w:hAnsi="宋体" w:cs="Arial"/>
          <w:b/>
          <w:bCs/>
          <w:color w:val="000000"/>
          <w:sz w:val="52"/>
        </w:rPr>
      </w:pPr>
      <w:r>
        <w:rPr>
          <w:rFonts w:hint="eastAsia" w:ascii="宋体" w:hAnsi="宋体" w:cs="Arial"/>
          <w:b/>
          <w:bCs/>
          <w:color w:val="000000"/>
          <w:sz w:val="52"/>
        </w:rPr>
        <w:t>山东滨华新材料有限公司</w:t>
      </w:r>
    </w:p>
    <w:p w14:paraId="1ACD8283">
      <w:pPr>
        <w:spacing w:line="440" w:lineRule="atLeast"/>
        <w:ind w:right="25" w:rightChars="12"/>
        <w:jc w:val="center"/>
        <w:rPr>
          <w:rFonts w:hint="eastAsia" w:ascii="宋体" w:hAnsi="宋体" w:cs="Arial"/>
          <w:b/>
          <w:bCs/>
          <w:color w:val="000000"/>
          <w:sz w:val="36"/>
        </w:rPr>
      </w:pPr>
    </w:p>
    <w:p w14:paraId="33CF10B1">
      <w:pPr>
        <w:spacing w:line="440" w:lineRule="atLeast"/>
        <w:ind w:right="25" w:rightChars="12"/>
        <w:jc w:val="center"/>
        <w:rPr>
          <w:rFonts w:hint="eastAsia" w:ascii="宋体" w:hAnsi="宋体" w:cs="Arial"/>
          <w:b/>
          <w:bCs/>
          <w:color w:val="000000"/>
          <w:sz w:val="36"/>
        </w:rPr>
      </w:pPr>
      <w:r>
        <w:rPr>
          <w:rFonts w:hint="eastAsia" w:ascii="宋体" w:hAnsi="宋体" w:cs="Arial"/>
          <w:b/>
          <w:bCs/>
          <w:color w:val="000000"/>
          <w:sz w:val="32"/>
        </w:rPr>
        <w:t>中/高压柜增加局放在线监测项目</w:t>
      </w:r>
    </w:p>
    <w:p w14:paraId="641D0A6F">
      <w:pPr>
        <w:spacing w:line="440" w:lineRule="atLeast"/>
        <w:ind w:right="25" w:rightChars="12"/>
        <w:jc w:val="center"/>
        <w:rPr>
          <w:rFonts w:hint="eastAsia" w:ascii="宋体" w:hAnsi="宋体" w:cs="Arial"/>
          <w:b/>
          <w:bCs/>
          <w:color w:val="000000"/>
          <w:sz w:val="36"/>
        </w:rPr>
      </w:pPr>
    </w:p>
    <w:p w14:paraId="24152C6D">
      <w:pPr>
        <w:spacing w:line="440" w:lineRule="atLeast"/>
        <w:ind w:right="25" w:rightChars="12"/>
        <w:jc w:val="center"/>
        <w:rPr>
          <w:rFonts w:hint="eastAsia" w:ascii="宋体" w:hAnsi="宋体" w:cs="Arial"/>
          <w:b/>
          <w:bCs/>
          <w:color w:val="000000"/>
          <w:sz w:val="36"/>
        </w:rPr>
      </w:pPr>
    </w:p>
    <w:p w14:paraId="50DF1218">
      <w:pPr>
        <w:spacing w:line="440" w:lineRule="atLeast"/>
        <w:ind w:right="25" w:rightChars="12"/>
        <w:jc w:val="center"/>
        <w:rPr>
          <w:rFonts w:hint="eastAsia" w:ascii="宋体" w:hAnsi="宋体" w:cs="Arial"/>
          <w:b/>
          <w:bCs/>
          <w:color w:val="000000"/>
          <w:sz w:val="52"/>
        </w:rPr>
      </w:pPr>
      <w:r>
        <w:rPr>
          <w:rFonts w:hint="eastAsia" w:ascii="宋体" w:hAnsi="宋体" w:cs="Arial"/>
          <w:b/>
          <w:bCs/>
          <w:color w:val="000000"/>
          <w:sz w:val="52"/>
        </w:rPr>
        <w:t>技</w:t>
      </w:r>
    </w:p>
    <w:p w14:paraId="7DD2D118">
      <w:pPr>
        <w:spacing w:line="440" w:lineRule="atLeast"/>
        <w:ind w:right="25" w:rightChars="12"/>
        <w:jc w:val="center"/>
        <w:rPr>
          <w:rFonts w:hint="eastAsia" w:ascii="宋体" w:hAnsi="宋体" w:cs="Arial"/>
          <w:b/>
          <w:bCs/>
          <w:color w:val="000000"/>
          <w:sz w:val="52"/>
        </w:rPr>
      </w:pPr>
      <w:r>
        <w:rPr>
          <w:rFonts w:hint="eastAsia" w:ascii="宋体" w:hAnsi="宋体" w:cs="Arial"/>
          <w:b/>
          <w:bCs/>
          <w:color w:val="000000"/>
          <w:sz w:val="52"/>
        </w:rPr>
        <w:t>术</w:t>
      </w:r>
    </w:p>
    <w:p w14:paraId="7FD9C2B8">
      <w:pPr>
        <w:spacing w:line="440" w:lineRule="atLeast"/>
        <w:ind w:right="25" w:rightChars="12"/>
        <w:jc w:val="center"/>
        <w:rPr>
          <w:rFonts w:hint="eastAsia" w:ascii="宋体" w:hAnsi="宋体" w:cs="Arial"/>
          <w:b/>
          <w:bCs/>
          <w:color w:val="000000"/>
          <w:sz w:val="52"/>
        </w:rPr>
      </w:pPr>
      <w:r>
        <w:rPr>
          <w:rFonts w:hint="eastAsia" w:ascii="宋体" w:hAnsi="宋体" w:cs="Arial"/>
          <w:b/>
          <w:bCs/>
          <w:color w:val="000000"/>
          <w:sz w:val="52"/>
        </w:rPr>
        <w:t>协</w:t>
      </w:r>
    </w:p>
    <w:p w14:paraId="1B6F35A9">
      <w:pPr>
        <w:spacing w:line="440" w:lineRule="atLeast"/>
        <w:ind w:right="25" w:rightChars="12"/>
        <w:jc w:val="center"/>
        <w:rPr>
          <w:rFonts w:hint="eastAsia" w:ascii="宋体" w:hAnsi="宋体" w:cs="Arial"/>
          <w:b/>
          <w:bCs/>
          <w:color w:val="000000"/>
          <w:sz w:val="52"/>
        </w:rPr>
      </w:pPr>
      <w:r>
        <w:rPr>
          <w:rFonts w:hint="eastAsia" w:ascii="宋体" w:hAnsi="宋体" w:cs="Arial"/>
          <w:b/>
          <w:bCs/>
          <w:color w:val="000000"/>
          <w:sz w:val="52"/>
        </w:rPr>
        <w:t>议</w:t>
      </w:r>
    </w:p>
    <w:p w14:paraId="4AB6A928">
      <w:pPr>
        <w:spacing w:line="440" w:lineRule="atLeast"/>
        <w:ind w:right="12"/>
        <w:rPr>
          <w:rFonts w:hint="eastAsia" w:ascii="宋体" w:hAnsi="宋体" w:cs="Arial"/>
          <w:color w:val="000000"/>
          <w:sz w:val="24"/>
        </w:rPr>
      </w:pPr>
    </w:p>
    <w:p w14:paraId="6114CBE3">
      <w:pPr>
        <w:spacing w:line="440" w:lineRule="atLeast"/>
        <w:ind w:right="12"/>
        <w:rPr>
          <w:rFonts w:hint="eastAsia" w:ascii="宋体" w:hAnsi="宋体" w:cs="Arial"/>
          <w:color w:val="000000"/>
          <w:sz w:val="24"/>
        </w:rPr>
      </w:pPr>
    </w:p>
    <w:p w14:paraId="4C81859B">
      <w:pPr>
        <w:spacing w:line="240" w:lineRule="atLeast"/>
        <w:ind w:right="11" w:firstLine="1400" w:firstLineChars="500"/>
        <w:rPr>
          <w:rFonts w:hint="eastAsia" w:ascii="宋体" w:hAnsi="宋体" w:cs="Arial"/>
          <w:color w:val="000000"/>
          <w:sz w:val="28"/>
        </w:rPr>
      </w:pPr>
    </w:p>
    <w:p w14:paraId="0859C589">
      <w:pPr>
        <w:spacing w:line="240" w:lineRule="atLeast"/>
        <w:ind w:right="11" w:firstLine="1400" w:firstLineChars="500"/>
        <w:rPr>
          <w:rFonts w:hint="eastAsia" w:ascii="宋体" w:hAnsi="宋体" w:cs="Arial"/>
          <w:color w:val="000000"/>
          <w:sz w:val="28"/>
        </w:rPr>
      </w:pPr>
    </w:p>
    <w:p w14:paraId="18C00625">
      <w:pPr>
        <w:spacing w:line="240" w:lineRule="atLeast"/>
        <w:ind w:right="11" w:firstLine="1400" w:firstLineChars="500"/>
        <w:rPr>
          <w:rFonts w:hint="eastAsia" w:ascii="宋体" w:hAnsi="宋体" w:cs="Arial"/>
          <w:color w:val="000000"/>
          <w:sz w:val="28"/>
        </w:rPr>
      </w:pPr>
    </w:p>
    <w:p w14:paraId="6D339D48">
      <w:pPr>
        <w:spacing w:line="240" w:lineRule="atLeast"/>
        <w:ind w:right="11" w:firstLine="1400" w:firstLineChars="500"/>
        <w:rPr>
          <w:rFonts w:hint="eastAsia" w:ascii="宋体" w:hAnsi="宋体" w:cs="Arial"/>
          <w:color w:val="000000"/>
          <w:sz w:val="28"/>
        </w:rPr>
      </w:pPr>
    </w:p>
    <w:p w14:paraId="431DA02C">
      <w:pPr>
        <w:spacing w:line="240" w:lineRule="atLeast"/>
        <w:ind w:right="11" w:firstLine="2660" w:firstLineChars="950"/>
        <w:rPr>
          <w:rFonts w:hint="eastAsia" w:ascii="宋体" w:hAnsi="宋体" w:cs="Arial"/>
          <w:color w:val="000000"/>
          <w:sz w:val="28"/>
        </w:rPr>
      </w:pPr>
      <w:r>
        <w:rPr>
          <w:rFonts w:hint="eastAsia" w:ascii="宋体" w:hAnsi="宋体" w:cs="Arial"/>
          <w:color w:val="000000"/>
          <w:sz w:val="28"/>
        </w:rPr>
        <w:t>甲方：</w:t>
      </w:r>
      <w:r>
        <w:rPr>
          <w:rFonts w:hint="eastAsia" w:ascii="宋体" w:hAnsi="宋体" w:cs="Arial"/>
          <w:color w:val="000000"/>
          <w:sz w:val="28"/>
        </w:rPr>
        <w:fldChar w:fldCharType="begin"/>
      </w:r>
      <w:r>
        <w:rPr>
          <w:rFonts w:hint="eastAsia" w:ascii="宋体" w:hAnsi="宋体" w:cs="Arial"/>
          <w:color w:val="000000"/>
          <w:sz w:val="28"/>
        </w:rPr>
        <w:instrText xml:space="preserve"> HYPERLINK "javascript:void(0)" \o "山东滨华新材料有限公司" </w:instrText>
      </w:r>
      <w:r>
        <w:rPr>
          <w:rFonts w:hint="eastAsia" w:ascii="宋体" w:hAnsi="宋体" w:cs="Arial"/>
          <w:color w:val="000000"/>
          <w:sz w:val="28"/>
        </w:rPr>
        <w:fldChar w:fldCharType="separate"/>
      </w:r>
      <w:r>
        <w:rPr>
          <w:rFonts w:hint="eastAsia" w:ascii="宋体" w:hAnsi="宋体" w:cs="Arial"/>
          <w:color w:val="000000"/>
          <w:sz w:val="28"/>
        </w:rPr>
        <w:t>山东滨华新材料有限公司</w:t>
      </w:r>
      <w:r>
        <w:rPr>
          <w:rFonts w:hint="eastAsia" w:ascii="宋体" w:hAnsi="宋体" w:cs="Arial"/>
          <w:color w:val="000000"/>
          <w:sz w:val="28"/>
        </w:rPr>
        <w:fldChar w:fldCharType="end"/>
      </w:r>
    </w:p>
    <w:p w14:paraId="7E1F657F">
      <w:pPr>
        <w:spacing w:line="240" w:lineRule="atLeast"/>
        <w:ind w:right="11"/>
        <w:rPr>
          <w:rFonts w:hint="eastAsia" w:ascii="宋体" w:hAnsi="宋体" w:cs="Arial"/>
          <w:color w:val="000000"/>
          <w:sz w:val="28"/>
        </w:rPr>
      </w:pPr>
    </w:p>
    <w:p w14:paraId="7C098095">
      <w:pPr>
        <w:spacing w:line="240" w:lineRule="atLeast"/>
        <w:ind w:right="11" w:firstLine="2660" w:firstLineChars="950"/>
        <w:rPr>
          <w:lang w:val="zh-CN"/>
        </w:rP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r>
        <w:rPr>
          <w:rFonts w:hint="eastAsia" w:ascii="宋体" w:hAnsi="宋体" w:cs="Arial"/>
          <w:color w:val="000000"/>
          <w:sz w:val="28"/>
        </w:rPr>
        <w:t>乙方：</w:t>
      </w:r>
    </w:p>
    <w:p w14:paraId="4FE86398">
      <w:pPr>
        <w:jc w:val="center"/>
      </w:pPr>
      <w:r>
        <w:rPr>
          <w:rFonts w:ascii="宋体" w:hAnsi="宋体"/>
          <w:b/>
          <w:bCs/>
          <w:sz w:val="32"/>
          <w:szCs w:val="32"/>
        </w:rPr>
        <w:t>目</w:t>
      </w:r>
      <w:r>
        <w:rPr>
          <w:rFonts w:hint="eastAsia" w:ascii="宋体" w:hAnsi="宋体"/>
          <w:b/>
          <w:bCs/>
          <w:sz w:val="32"/>
          <w:szCs w:val="32"/>
        </w:rPr>
        <w:t xml:space="preserve">  </w:t>
      </w:r>
      <w:r>
        <w:rPr>
          <w:rFonts w:ascii="宋体" w:hAnsi="宋体"/>
          <w:b/>
          <w:bCs/>
          <w:sz w:val="32"/>
          <w:szCs w:val="32"/>
        </w:rPr>
        <w:t>录</w:t>
      </w:r>
    </w:p>
    <w:p w14:paraId="04370229">
      <w:pPr>
        <w:pStyle w:val="9"/>
        <w:rPr>
          <w:rFonts w:asciiTheme="minorHAnsi" w:hAnsiTheme="minorHAnsi" w:eastAsiaTheme="minorEastAsia" w:cstheme="minorBidi"/>
          <w:sz w:val="22"/>
          <w:szCs w:val="24"/>
          <w14:ligatures w14:val="standardContextual"/>
        </w:rPr>
      </w:pPr>
      <w:r>
        <w:rPr>
          <w:rFonts w:hint="eastAsia" w:ascii="宋体" w:hAnsi="宋体" w:cs="宋体"/>
          <w:b/>
          <w:bCs/>
          <w:color w:val="000000"/>
          <w:sz w:val="28"/>
          <w:szCs w:val="28"/>
        </w:rPr>
        <w:fldChar w:fldCharType="begin"/>
      </w:r>
      <w:r>
        <w:rPr>
          <w:rFonts w:hint="eastAsia" w:ascii="宋体" w:hAnsi="宋体" w:cs="宋体"/>
          <w:b/>
          <w:bCs/>
          <w:color w:val="000000"/>
          <w:sz w:val="28"/>
          <w:szCs w:val="28"/>
        </w:rPr>
        <w:instrText xml:space="preserve">TOC \o "1-1" \h \u </w:instrText>
      </w:r>
      <w:r>
        <w:rPr>
          <w:rFonts w:hint="eastAsia" w:ascii="宋体" w:hAnsi="宋体" w:cs="宋体"/>
          <w:b/>
          <w:bCs/>
          <w:color w:val="000000"/>
          <w:sz w:val="28"/>
          <w:szCs w:val="28"/>
        </w:rPr>
        <w:fldChar w:fldCharType="separate"/>
      </w:r>
      <w:r>
        <w:fldChar w:fldCharType="begin"/>
      </w:r>
      <w:r>
        <w:instrText xml:space="preserve"> HYPERLINK \l "_Toc205546290" </w:instrText>
      </w:r>
      <w:r>
        <w:fldChar w:fldCharType="separate"/>
      </w:r>
      <w:r>
        <w:rPr>
          <w:rStyle w:val="15"/>
          <w:rFonts w:hint="eastAsia" w:ascii="宋体" w:hAnsi="宋体" w:cs="宋体"/>
        </w:rPr>
        <w:t>1、总则</w:t>
      </w:r>
      <w:r>
        <w:rPr>
          <w:rFonts w:hint="eastAsia"/>
        </w:rPr>
        <w:tab/>
      </w:r>
      <w:r>
        <w:rPr>
          <w:rFonts w:hint="eastAsia"/>
        </w:rPr>
        <w:fldChar w:fldCharType="begin"/>
      </w:r>
      <w:r>
        <w:rPr>
          <w:rFonts w:hint="eastAsia"/>
        </w:rPr>
        <w:instrText xml:space="preserve"> </w:instrText>
      </w:r>
      <w:r>
        <w:instrText xml:space="preserve">PAGEREF _Toc205546290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56CA496">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"_Toc205546291" </w:instrText>
      </w:r>
      <w:r>
        <w:fldChar w:fldCharType="separate"/>
      </w:r>
      <w:r>
        <w:rPr>
          <w:rStyle w:val="15"/>
          <w:rFonts w:hint="eastAsia" w:ascii="宋体" w:hAnsi="宋体" w:cs="宋体"/>
        </w:rPr>
        <w:t>2、执行技术标准</w:t>
      </w:r>
      <w:r>
        <w:rPr>
          <w:rFonts w:hint="eastAsia"/>
        </w:rPr>
        <w:tab/>
      </w:r>
      <w:r>
        <w:rPr>
          <w:rFonts w:hint="eastAsia"/>
        </w:rPr>
        <w:fldChar w:fldCharType="begin"/>
      </w:r>
      <w:r>
        <w:rPr>
          <w:rFonts w:hint="eastAsia"/>
        </w:rPr>
        <w:instrText xml:space="preserve"> </w:instrText>
      </w:r>
      <w:r>
        <w:instrText xml:space="preserve">PAGEREF _Toc205546291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E2A5D80">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"_Toc205546292" </w:instrText>
      </w:r>
      <w:r>
        <w:fldChar w:fldCharType="separate"/>
      </w:r>
      <w:r>
        <w:rPr>
          <w:rStyle w:val="15"/>
          <w:rFonts w:hint="eastAsia" w:ascii="宋体" w:hAnsi="宋体" w:cs="宋体"/>
        </w:rPr>
        <w:t>4、技术要求及验收要求</w:t>
      </w:r>
      <w:r>
        <w:rPr>
          <w:rFonts w:hint="eastAsia"/>
        </w:rPr>
        <w:tab/>
      </w:r>
      <w:r>
        <w:rPr>
          <w:rFonts w:hint="eastAsia"/>
        </w:rPr>
        <w:fldChar w:fldCharType="begin"/>
      </w:r>
      <w:r>
        <w:rPr>
          <w:rFonts w:hint="eastAsia"/>
        </w:rPr>
        <w:instrText xml:space="preserve"> </w:instrText>
      </w:r>
      <w:r>
        <w:instrText xml:space="preserve">PAGEREF _Toc205546292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032074F">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"_Toc205546293" </w:instrText>
      </w:r>
      <w:r>
        <w:fldChar w:fldCharType="separate"/>
      </w:r>
      <w:r>
        <w:rPr>
          <w:rStyle w:val="15"/>
          <w:rFonts w:hint="eastAsia" w:ascii="宋体" w:hAnsi="宋体" w:cs="宋体"/>
        </w:rPr>
        <w:t>5、技术偏离</w:t>
      </w:r>
      <w:r>
        <w:rPr>
          <w:rFonts w:hint="eastAsia"/>
        </w:rPr>
        <w:tab/>
      </w:r>
      <w:r>
        <w:rPr>
          <w:rFonts w:hint="eastAsia"/>
        </w:rPr>
        <w:fldChar w:fldCharType="begin"/>
      </w:r>
      <w:r>
        <w:rPr>
          <w:rFonts w:hint="eastAsia"/>
        </w:rPr>
        <w:instrText xml:space="preserve"> </w:instrText>
      </w:r>
      <w:r>
        <w:instrText xml:space="preserve">PAGEREF _Toc205546293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37F13A2">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"_Toc205546294" </w:instrText>
      </w:r>
      <w:r>
        <w:fldChar w:fldCharType="separate"/>
      </w:r>
      <w:r>
        <w:rPr>
          <w:rStyle w:val="15"/>
          <w:rFonts w:hint="eastAsia" w:ascii="宋体" w:hAnsi="宋体" w:cs="宋体"/>
        </w:rPr>
        <w:t>6、供货范围和工作范围</w:t>
      </w:r>
      <w:r>
        <w:rPr>
          <w:rFonts w:hint="eastAsia"/>
        </w:rPr>
        <w:tab/>
      </w:r>
      <w:r>
        <w:rPr>
          <w:rFonts w:hint="eastAsia"/>
        </w:rPr>
        <w:fldChar w:fldCharType="begin"/>
      </w:r>
      <w:r>
        <w:rPr>
          <w:rFonts w:hint="eastAsia"/>
        </w:rPr>
        <w:instrText xml:space="preserve"> </w:instrText>
      </w:r>
      <w:r>
        <w:instrText xml:space="preserve">PAGEREF _Toc205546294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6439017">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"_Toc205546295" </w:instrText>
      </w:r>
      <w:r>
        <w:fldChar w:fldCharType="separate"/>
      </w:r>
      <w:r>
        <w:rPr>
          <w:rStyle w:val="15"/>
          <w:rFonts w:hint="eastAsia" w:ascii="宋体" w:hAnsi="宋体" w:cs="宋体"/>
        </w:rPr>
        <w:t>7、验收与试验</w:t>
      </w:r>
      <w:r>
        <w:rPr>
          <w:rFonts w:hint="eastAsia"/>
        </w:rPr>
        <w:tab/>
      </w:r>
      <w:r>
        <w:rPr>
          <w:rFonts w:hint="eastAsia"/>
        </w:rPr>
        <w:fldChar w:fldCharType="begin"/>
      </w:r>
      <w:r>
        <w:rPr>
          <w:rFonts w:hint="eastAsia"/>
        </w:rPr>
        <w:instrText xml:space="preserve"> </w:instrText>
      </w:r>
      <w:r>
        <w:instrText xml:space="preserve">PAGEREF _Toc205546295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439C6F8">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"_Toc205546296" </w:instrText>
      </w:r>
      <w:r>
        <w:fldChar w:fldCharType="separate"/>
      </w:r>
      <w:r>
        <w:rPr>
          <w:rStyle w:val="15"/>
          <w:rFonts w:hint="eastAsia" w:ascii="宋体" w:hAnsi="宋体" w:cs="宋体"/>
        </w:rPr>
        <w:t>8、产品保证</w:t>
      </w:r>
      <w:r>
        <w:rPr>
          <w:rFonts w:hint="eastAsia"/>
        </w:rPr>
        <w:tab/>
      </w:r>
      <w:r>
        <w:rPr>
          <w:rFonts w:hint="eastAsia"/>
        </w:rPr>
        <w:fldChar w:fldCharType="begin"/>
      </w:r>
      <w:r>
        <w:rPr>
          <w:rFonts w:hint="eastAsia"/>
        </w:rPr>
        <w:instrText xml:space="preserve"> </w:instrText>
      </w:r>
      <w:r>
        <w:instrText xml:space="preserve">PAGEREF _Toc205546296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F2DB34E">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"_Toc205546297" </w:instrText>
      </w:r>
      <w:r>
        <w:fldChar w:fldCharType="separate"/>
      </w:r>
      <w:r>
        <w:rPr>
          <w:rStyle w:val="15"/>
          <w:rFonts w:hint="eastAsia" w:ascii="宋体" w:hAnsi="宋体" w:cs="宋体"/>
        </w:rPr>
        <w:t>9、文件及技术资料交付</w:t>
      </w:r>
      <w:r>
        <w:rPr>
          <w:rFonts w:hint="eastAsia"/>
        </w:rPr>
        <w:tab/>
      </w:r>
      <w:r>
        <w:rPr>
          <w:rFonts w:hint="eastAsia"/>
        </w:rPr>
        <w:fldChar w:fldCharType="begin"/>
      </w:r>
      <w:r>
        <w:rPr>
          <w:rFonts w:hint="eastAsia"/>
        </w:rPr>
        <w:instrText xml:space="preserve"> </w:instrText>
      </w:r>
      <w:r>
        <w:instrText xml:space="preserve">PAGEREF _Toc205546297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B32BE12">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"_Toc205546298" </w:instrText>
      </w:r>
      <w:r>
        <w:fldChar w:fldCharType="separate"/>
      </w:r>
      <w:r>
        <w:rPr>
          <w:rStyle w:val="15"/>
          <w:rFonts w:hint="eastAsia" w:ascii="宋体" w:hAnsi="宋体" w:cs="宋体"/>
        </w:rPr>
        <w:t>10、包装与运输</w:t>
      </w:r>
      <w:r>
        <w:rPr>
          <w:rFonts w:hint="eastAsia"/>
        </w:rPr>
        <w:tab/>
      </w:r>
      <w:r>
        <w:rPr>
          <w:rFonts w:hint="eastAsia"/>
        </w:rPr>
        <w:fldChar w:fldCharType="begin"/>
      </w:r>
      <w:r>
        <w:rPr>
          <w:rFonts w:hint="eastAsia"/>
        </w:rPr>
        <w:instrText xml:space="preserve"> </w:instrText>
      </w:r>
      <w:r>
        <w:instrText xml:space="preserve">PAGEREF _Toc205546298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A119801">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"_Toc205546299" </w:instrText>
      </w:r>
      <w:r>
        <w:fldChar w:fldCharType="separate"/>
      </w:r>
      <w:r>
        <w:rPr>
          <w:rStyle w:val="15"/>
          <w:rFonts w:hint="eastAsia" w:ascii="宋体" w:hAnsi="宋体" w:cs="宋体"/>
        </w:rPr>
        <w:t>11、售后服务与指导</w:t>
      </w:r>
      <w:r>
        <w:rPr>
          <w:rFonts w:hint="eastAsia"/>
        </w:rPr>
        <w:tab/>
      </w:r>
      <w:r>
        <w:rPr>
          <w:rFonts w:hint="eastAsia"/>
        </w:rPr>
        <w:fldChar w:fldCharType="begin"/>
      </w:r>
      <w:r>
        <w:rPr>
          <w:rFonts w:hint="eastAsia"/>
        </w:rPr>
        <w:instrText xml:space="preserve"> </w:instrText>
      </w:r>
      <w:r>
        <w:instrText xml:space="preserve">PAGEREF _Toc205546299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5A8382D">
      <w:pPr>
        <w:pStyle w:val="9"/>
        <w:rPr>
          <w:rFonts w:asciiTheme="minorHAnsi" w:hAnsiTheme="minorHAnsi" w:eastAsiaTheme="minorEastAsia" w:cstheme="minorBidi"/>
          <w:sz w:val="22"/>
          <w:szCs w:val="24"/>
          <w14:ligatures w14:val="standardContextual"/>
        </w:rPr>
      </w:pPr>
      <w:r>
        <w:fldChar w:fldCharType="begin"/>
      </w:r>
      <w:r>
        <w:instrText xml:space="preserve"> HYPERLINK \l "_Toc205546300" </w:instrText>
      </w:r>
      <w:r>
        <w:fldChar w:fldCharType="separate"/>
      </w:r>
      <w:r>
        <w:rPr>
          <w:rStyle w:val="15"/>
          <w:rFonts w:hint="eastAsia" w:ascii="宋体" w:hAnsi="宋体" w:cs="宋体"/>
        </w:rPr>
        <w:t>12、其他约定</w:t>
      </w:r>
      <w:r>
        <w:rPr>
          <w:rFonts w:hint="eastAsia"/>
        </w:rPr>
        <w:tab/>
      </w:r>
      <w:r>
        <w:rPr>
          <w:rFonts w:hint="eastAsia"/>
        </w:rPr>
        <w:fldChar w:fldCharType="begin"/>
      </w:r>
      <w:r>
        <w:rPr>
          <w:rFonts w:hint="eastAsia"/>
        </w:rPr>
        <w:instrText xml:space="preserve"> </w:instrText>
      </w:r>
      <w:r>
        <w:instrText xml:space="preserve">PAGEREF _Toc205546300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329D515C">
      <w:pPr>
        <w:spacing w:line="360" w:lineRule="auto"/>
        <w:ind w:left="218" w:leftChars="104" w:right="-199" w:rightChars="-95"/>
        <w:jc w:val="center"/>
        <w:rPr>
          <w:rFonts w:hint="eastAsia" w:ascii="宋体" w:hAnsi="宋体" w:cs="Arial"/>
          <w:b/>
          <w:bCs/>
          <w:color w:val="000000"/>
          <w:sz w:val="36"/>
        </w:rPr>
      </w:pPr>
      <w:r>
        <w:rPr>
          <w:rFonts w:hint="eastAsia" w:ascii="宋体" w:hAnsi="宋体" w:cs="宋体"/>
          <w:bCs/>
          <w:color w:val="000000"/>
          <w:sz w:val="28"/>
          <w:szCs w:val="28"/>
        </w:rPr>
        <w:fldChar w:fldCharType="end"/>
      </w:r>
    </w:p>
    <w:p w14:paraId="67AE9955">
      <w:pPr>
        <w:spacing w:line="440" w:lineRule="atLeast"/>
        <w:ind w:right="25" w:rightChars="12"/>
        <w:jc w:val="center"/>
        <w:rPr>
          <w:rFonts w:hint="eastAsia" w:ascii="宋体" w:hAnsi="宋体" w:cs="Arial"/>
          <w:b/>
          <w:bCs/>
          <w:color w:val="000000"/>
          <w:sz w:val="36"/>
        </w:rPr>
      </w:pPr>
    </w:p>
    <w:p w14:paraId="7FD9AD1B">
      <w:pPr>
        <w:spacing w:line="440" w:lineRule="atLeast"/>
        <w:ind w:right="25" w:rightChars="12"/>
        <w:jc w:val="center"/>
        <w:rPr>
          <w:rFonts w:hint="eastAsia" w:ascii="宋体" w:hAnsi="宋体" w:cs="Arial"/>
          <w:b/>
          <w:color w:val="000000"/>
          <w:sz w:val="36"/>
        </w:rPr>
      </w:pPr>
    </w:p>
    <w:p w14:paraId="12350454">
      <w:pPr>
        <w:spacing w:line="440" w:lineRule="atLeast"/>
        <w:ind w:right="25" w:rightChars="12"/>
        <w:jc w:val="center"/>
        <w:rPr>
          <w:rFonts w:hint="eastAsia" w:ascii="宋体" w:hAnsi="宋体" w:cs="Arial"/>
          <w:b/>
          <w:color w:val="000000"/>
          <w:sz w:val="36"/>
        </w:rPr>
      </w:pPr>
    </w:p>
    <w:p w14:paraId="2CFD81B8">
      <w:pPr>
        <w:spacing w:line="440" w:lineRule="atLeast"/>
        <w:ind w:right="25" w:rightChars="12"/>
        <w:jc w:val="center"/>
        <w:rPr>
          <w:rFonts w:hint="eastAsia" w:ascii="宋体" w:hAnsi="宋体" w:cs="Arial"/>
          <w:b/>
          <w:color w:val="000000"/>
          <w:sz w:val="36"/>
        </w:rPr>
      </w:pPr>
    </w:p>
    <w:p w14:paraId="118FD4F8">
      <w:pPr>
        <w:spacing w:line="440" w:lineRule="atLeast"/>
        <w:ind w:right="25" w:rightChars="12"/>
        <w:jc w:val="center"/>
        <w:rPr>
          <w:rFonts w:hint="eastAsia" w:ascii="宋体" w:hAnsi="宋体" w:cs="Arial"/>
          <w:b/>
          <w:color w:val="000000"/>
          <w:sz w:val="36"/>
        </w:rPr>
      </w:pPr>
    </w:p>
    <w:p w14:paraId="120E24FC">
      <w:pPr>
        <w:spacing w:line="440" w:lineRule="atLeast"/>
        <w:ind w:right="25" w:rightChars="12"/>
        <w:jc w:val="center"/>
        <w:rPr>
          <w:rFonts w:hint="eastAsia" w:ascii="宋体" w:hAnsi="宋体" w:cs="Arial"/>
          <w:b/>
          <w:color w:val="000000"/>
          <w:sz w:val="36"/>
        </w:rPr>
      </w:pPr>
    </w:p>
    <w:p w14:paraId="78E9E5BD">
      <w:pPr>
        <w:spacing w:line="440" w:lineRule="atLeast"/>
        <w:ind w:right="25" w:rightChars="12"/>
        <w:jc w:val="center"/>
        <w:rPr>
          <w:rFonts w:hint="eastAsia" w:ascii="宋体" w:hAnsi="宋体" w:cs="Arial"/>
          <w:b/>
          <w:color w:val="000000"/>
          <w:sz w:val="36"/>
        </w:rPr>
      </w:pPr>
    </w:p>
    <w:p w14:paraId="5864A888">
      <w:pPr>
        <w:spacing w:line="440" w:lineRule="atLeast"/>
        <w:ind w:right="25" w:rightChars="12"/>
        <w:jc w:val="center"/>
        <w:rPr>
          <w:rFonts w:hint="eastAsia" w:ascii="宋体" w:hAnsi="宋体" w:cs="Arial"/>
          <w:b/>
          <w:color w:val="000000"/>
          <w:sz w:val="36"/>
        </w:rPr>
      </w:pPr>
    </w:p>
    <w:p w14:paraId="3B2A1ED5">
      <w:pPr>
        <w:spacing w:line="440" w:lineRule="atLeast"/>
        <w:ind w:right="12"/>
        <w:rPr>
          <w:rFonts w:hint="eastAsia" w:ascii="宋体" w:hAnsi="宋体" w:cs="Arial"/>
          <w:color w:val="000000"/>
          <w:sz w:val="24"/>
        </w:rPr>
      </w:pPr>
    </w:p>
    <w:p w14:paraId="5B654F50">
      <w:pPr>
        <w:pStyle w:val="2"/>
        <w:spacing w:before="0" w:after="0" w:line="360" w:lineRule="auto"/>
        <w:rPr>
          <w:rFonts w:hint="eastAsia" w:ascii="宋体" w:hAnsi="宋体" w:cs="宋体"/>
          <w:sz w:val="28"/>
          <w:szCs w:val="28"/>
        </w:rPr>
        <w:sectPr>
          <w:footerReference r:id="rId6" w:type="default"/>
          <w:pgSz w:w="11906" w:h="16838"/>
          <w:pgMar w:top="1440" w:right="1800" w:bottom="1440" w:left="1800" w:header="851" w:footer="992" w:gutter="0"/>
          <w:pgNumType w:start="1"/>
          <w:cols w:space="720" w:num="1"/>
          <w:docGrid w:type="lines" w:linePitch="312" w:charSpace="0"/>
        </w:sectPr>
      </w:pPr>
      <w:bookmarkStart w:id="0" w:name="_Toc205546290"/>
    </w:p>
    <w:p w14:paraId="4BBFC134">
      <w:pPr>
        <w:pStyle w:val="2"/>
        <w:spacing w:before="0" w:after="0" w:line="360" w:lineRule="auto"/>
        <w:rPr>
          <w:rFonts w:hint="eastAsia" w:ascii="宋体" w:hAnsi="宋体" w:cs="宋体"/>
          <w:sz w:val="28"/>
          <w:szCs w:val="28"/>
        </w:rPr>
      </w:pPr>
      <w:r>
        <w:rPr>
          <w:rFonts w:hint="eastAsia" w:ascii="宋体" w:hAnsi="宋体" w:cs="宋体"/>
          <w:sz w:val="28"/>
          <w:szCs w:val="28"/>
        </w:rPr>
        <w:t>1、总则</w:t>
      </w:r>
      <w:bookmarkEnd w:id="0"/>
    </w:p>
    <w:p w14:paraId="38F60C77">
      <w:pPr>
        <w:spacing w:line="360" w:lineRule="auto"/>
        <w:rPr>
          <w:rFonts w:hint="eastAsia" w:ascii="宋体" w:hAnsi="宋体" w:cs="Arial"/>
          <w:sz w:val="24"/>
        </w:rPr>
      </w:pPr>
      <w:r>
        <w:rPr>
          <w:rFonts w:hint="eastAsia" w:ascii="宋体" w:hAnsi="宋体" w:cs="Arial"/>
          <w:sz w:val="24"/>
        </w:rPr>
        <w:t>1.1 本协议书的使用范围仅限于</w:t>
      </w:r>
      <w:r>
        <w:rPr>
          <w:rFonts w:hint="eastAsia" w:ascii="宋体" w:hAnsi="宋体" w:cs="Arial"/>
          <w:sz w:val="24"/>
        </w:rPr>
        <w:fldChar w:fldCharType="begin"/>
      </w:r>
      <w:r>
        <w:rPr>
          <w:rFonts w:hint="eastAsia" w:ascii="宋体" w:hAnsi="宋体" w:cs="Arial"/>
          <w:sz w:val="24"/>
        </w:rPr>
        <w:instrText xml:space="preserve"> HYPERLINK "javascript:void(0)" \o "山东滨华新材料有限公司" </w:instrText>
      </w:r>
      <w:r>
        <w:rPr>
          <w:rFonts w:hint="eastAsia" w:ascii="宋体" w:hAnsi="宋体" w:cs="Arial"/>
          <w:sz w:val="24"/>
        </w:rPr>
        <w:fldChar w:fldCharType="separate"/>
      </w:r>
      <w:r>
        <w:rPr>
          <w:rFonts w:hint="eastAsia" w:ascii="宋体" w:hAnsi="宋体" w:cs="Arial"/>
          <w:sz w:val="24"/>
        </w:rPr>
        <w:t>山东滨华新材料有限公司</w:t>
      </w:r>
      <w:r>
        <w:rPr>
          <w:rFonts w:hint="eastAsia" w:ascii="宋体" w:hAnsi="宋体" w:cs="Arial"/>
          <w:sz w:val="24"/>
        </w:rPr>
        <w:fldChar w:fldCharType="end"/>
      </w:r>
      <w:r>
        <w:rPr>
          <w:rFonts w:hint="eastAsia" w:ascii="宋体" w:hAnsi="宋体" w:cs="Arial"/>
          <w:sz w:val="24"/>
        </w:rPr>
        <w:t>中/高压柜增加局放在线监测项目，包括局放在线监测装置的功能设计、结构、性能、安装和调试等方面的技术要求。</w:t>
      </w:r>
    </w:p>
    <w:p w14:paraId="4403CEB5">
      <w:pPr>
        <w:spacing w:line="360" w:lineRule="auto"/>
        <w:rPr>
          <w:rFonts w:hint="eastAsia" w:ascii="宋体" w:hAnsi="宋体" w:cs="Arial"/>
          <w:sz w:val="24"/>
        </w:rPr>
      </w:pPr>
      <w:r>
        <w:rPr>
          <w:rFonts w:hint="eastAsia" w:ascii="宋体" w:hAnsi="宋体" w:cs="Arial"/>
          <w:sz w:val="24"/>
        </w:rPr>
        <w:t>1.2 本协议书提出的是最低限度的技术要求，并未对一切技术细节作出规定，也未充分引述有关标准和规范的条文，乙方应保证提供符合本协议书和有关工业标准的优质产品。</w:t>
      </w:r>
    </w:p>
    <w:p w14:paraId="6009ED89">
      <w:pPr>
        <w:spacing w:line="360" w:lineRule="auto"/>
        <w:rPr>
          <w:rFonts w:hint="eastAsia" w:ascii="宋体" w:hAnsi="宋体" w:cs="Arial"/>
          <w:sz w:val="24"/>
        </w:rPr>
      </w:pPr>
      <w:r>
        <w:rPr>
          <w:rFonts w:hint="eastAsia" w:ascii="宋体" w:hAnsi="宋体" w:cs="Arial"/>
          <w:sz w:val="24"/>
        </w:rPr>
        <w:t>1.3 本协议书所使用的标准如遇与乙方所执行的标准发生矛盾时，按较高标准执行。</w:t>
      </w:r>
    </w:p>
    <w:p w14:paraId="18B24355">
      <w:pPr>
        <w:spacing w:line="360" w:lineRule="auto"/>
        <w:rPr>
          <w:rFonts w:hint="eastAsia" w:ascii="宋体" w:hAnsi="宋体" w:cs="Arial"/>
          <w:sz w:val="24"/>
        </w:rPr>
      </w:pPr>
      <w:r>
        <w:rPr>
          <w:rFonts w:hint="eastAsia" w:ascii="宋体" w:hAnsi="宋体" w:cs="Arial"/>
          <w:sz w:val="24"/>
        </w:rPr>
        <w:t>1.4 如果乙方未以书面形式对本协议书的条文提出异议，则甲方认为乙方提供产品将完全满足本协议书的要求。如是有异议，不论多么微小，都应在其投标书中的专门章节中予以详细说明。</w:t>
      </w:r>
    </w:p>
    <w:p w14:paraId="09007884">
      <w:pPr>
        <w:spacing w:line="360" w:lineRule="auto"/>
        <w:rPr>
          <w:rFonts w:hint="eastAsia" w:ascii="宋体" w:hAnsi="宋体" w:cs="Arial"/>
          <w:sz w:val="24"/>
        </w:rPr>
      </w:pPr>
      <w:r>
        <w:rPr>
          <w:rFonts w:hint="eastAsia" w:ascii="宋体" w:hAnsi="宋体" w:cs="Arial"/>
          <w:sz w:val="24"/>
        </w:rPr>
        <w:t>1.5 在签订合同之后，甲方有权提出因规范标准和规程发生变化而产生的一些补充要求，根据具体情况由供、需双方共同商定。</w:t>
      </w:r>
    </w:p>
    <w:p w14:paraId="60160E9C">
      <w:pPr>
        <w:spacing w:line="360" w:lineRule="auto"/>
        <w:rPr>
          <w:rFonts w:hint="eastAsia" w:ascii="宋体" w:hAnsi="宋体" w:cs="Arial"/>
          <w:sz w:val="24"/>
        </w:rPr>
      </w:pPr>
      <w:r>
        <w:rPr>
          <w:rFonts w:hint="eastAsia" w:ascii="宋体" w:hAnsi="宋体" w:cs="Arial"/>
          <w:sz w:val="24"/>
        </w:rPr>
        <w:t>1.6 本协议书为定货合同附件，与正文具有同等的法律效力。</w:t>
      </w:r>
    </w:p>
    <w:p w14:paraId="7785B8C4">
      <w:pPr>
        <w:spacing w:line="360" w:lineRule="auto"/>
        <w:rPr>
          <w:rFonts w:hint="eastAsia" w:ascii="宋体" w:hAnsi="宋体" w:cs="Arial"/>
          <w:sz w:val="24"/>
        </w:rPr>
      </w:pPr>
      <w:r>
        <w:rPr>
          <w:rFonts w:hint="eastAsia" w:ascii="宋体" w:hAnsi="宋体" w:cs="Arial"/>
          <w:sz w:val="24"/>
        </w:rPr>
        <w:t>1.7 要求乙方根据协议书提出一份完整的报价书。</w:t>
      </w:r>
    </w:p>
    <w:p w14:paraId="4BA2078D">
      <w:pPr>
        <w:spacing w:line="360" w:lineRule="auto"/>
        <w:rPr>
          <w:rFonts w:hint="eastAsia" w:ascii="宋体" w:hAnsi="宋体" w:cs="Arial"/>
          <w:sz w:val="24"/>
        </w:rPr>
      </w:pPr>
      <w:r>
        <w:rPr>
          <w:rFonts w:hint="eastAsia" w:ascii="宋体" w:hAnsi="宋体" w:cs="Arial"/>
          <w:sz w:val="24"/>
        </w:rPr>
        <w:t>1.8 所有文件、图纸及资料、相互通信均应采用中文。</w:t>
      </w:r>
    </w:p>
    <w:p w14:paraId="7B0EF032">
      <w:pPr>
        <w:spacing w:line="360" w:lineRule="auto"/>
        <w:rPr>
          <w:rFonts w:hint="eastAsia" w:ascii="宋体" w:hAnsi="宋体" w:cs="Arial"/>
          <w:sz w:val="24"/>
        </w:rPr>
      </w:pPr>
      <w:r>
        <w:rPr>
          <w:rFonts w:hint="eastAsia" w:ascii="宋体" w:hAnsi="宋体" w:cs="Arial"/>
          <w:sz w:val="24"/>
        </w:rPr>
        <w:t>1.9</w:t>
      </w:r>
      <w:r>
        <w:rPr>
          <w:rFonts w:hint="eastAsia" w:ascii="宋体" w:hAnsi="宋体" w:cs="Arial"/>
          <w:b/>
          <w:bCs/>
          <w:color w:val="FF0000"/>
          <w:sz w:val="24"/>
          <w:highlight w:val="none"/>
        </w:rPr>
        <w:t>本项目要求乙方为所投产品/服务的</w:t>
      </w:r>
      <w:r>
        <w:rPr>
          <w:rFonts w:ascii="宋体" w:hAnsi="宋体" w:cs="Arial"/>
          <w:b/>
          <w:bCs/>
          <w:color w:val="FF0000"/>
          <w:sz w:val="24"/>
          <w:highlight w:val="none"/>
        </w:rPr>
        <w:t>原厂制造商</w:t>
      </w:r>
      <w:r>
        <w:rPr>
          <w:rFonts w:ascii="宋体" w:hAnsi="宋体" w:cs="Arial"/>
          <w:sz w:val="24"/>
        </w:rPr>
        <w:t>，具备独立完成项目全部内容的生产能力、技术能力及服务保障能力</w:t>
      </w:r>
      <w:r>
        <w:rPr>
          <w:rFonts w:hint="eastAsia" w:ascii="宋体" w:hAnsi="宋体" w:cs="Arial"/>
          <w:sz w:val="24"/>
        </w:rPr>
        <w:t>。此项目不接受代理商、集成商参与投标。</w:t>
      </w:r>
    </w:p>
    <w:p w14:paraId="6DA50579">
      <w:pPr>
        <w:spacing w:line="360" w:lineRule="auto"/>
        <w:rPr>
          <w:rFonts w:hint="eastAsia" w:ascii="宋体" w:hAnsi="宋体" w:cs="Arial"/>
          <w:sz w:val="24"/>
        </w:rPr>
      </w:pPr>
      <w:r>
        <w:rPr>
          <w:rFonts w:hint="eastAsia" w:ascii="宋体" w:hAnsi="宋体" w:cs="Arial"/>
          <w:sz w:val="24"/>
        </w:rPr>
        <w:t>1.10</w:t>
      </w:r>
      <w:r>
        <w:rPr>
          <w:rFonts w:hint="eastAsia" w:ascii="宋体" w:hAnsi="宋体" w:cs="Arial"/>
          <w:color w:val="FF0000"/>
          <w:sz w:val="24"/>
          <w:highlight w:val="none"/>
        </w:rPr>
        <w:t>本项目所提供的软件部分应为终</w:t>
      </w:r>
      <w:bookmarkStart w:id="136" w:name="_GoBack"/>
      <w:bookmarkEnd w:id="136"/>
      <w:r>
        <w:rPr>
          <w:rFonts w:hint="eastAsia" w:ascii="宋体" w:hAnsi="宋体" w:cs="Arial"/>
          <w:color w:val="FF0000"/>
          <w:sz w:val="24"/>
          <w:highlight w:val="none"/>
        </w:rPr>
        <w:t>身使用版本或免费升级使用版本，后续不得产生任何软件费用，本条不受产品质保期约束。</w:t>
      </w:r>
    </w:p>
    <w:p w14:paraId="3BA22345">
      <w:pPr>
        <w:spacing w:line="360" w:lineRule="auto"/>
        <w:rPr>
          <w:rFonts w:hint="eastAsia" w:ascii="宋体" w:hAnsi="宋体" w:cs="Arial"/>
          <w:sz w:val="24"/>
        </w:rPr>
      </w:pPr>
      <w:r>
        <w:rPr>
          <w:rFonts w:hint="eastAsia" w:ascii="宋体" w:hAnsi="宋体" w:cs="Arial"/>
          <w:sz w:val="24"/>
        </w:rPr>
        <w:t>1.11系统应无条件满足信息数据安全的各项要求。所有运行数据本地化存储、分析，在滨化集团内部独立完成全部开关柜局放监测数据分析，无需将任何数据发送至第三方生成离线式评估报告。</w:t>
      </w:r>
    </w:p>
    <w:p w14:paraId="16ECEAD3">
      <w:pPr>
        <w:pStyle w:val="2"/>
        <w:spacing w:before="0" w:after="0" w:line="360" w:lineRule="auto"/>
        <w:rPr>
          <w:rFonts w:hint="eastAsia" w:ascii="宋体" w:hAnsi="宋体" w:cs="宋体"/>
          <w:sz w:val="28"/>
          <w:szCs w:val="28"/>
        </w:rPr>
      </w:pPr>
      <w:bookmarkStart w:id="1" w:name="_Toc205546291"/>
      <w:r>
        <w:rPr>
          <w:rFonts w:hint="eastAsia" w:ascii="宋体" w:hAnsi="宋体" w:cs="宋体"/>
          <w:sz w:val="28"/>
          <w:szCs w:val="28"/>
        </w:rPr>
        <w:t>2、执行技术标准</w:t>
      </w:r>
      <w:bookmarkEnd w:id="1"/>
    </w:p>
    <w:p w14:paraId="6C4B73E3">
      <w:pPr>
        <w:spacing w:line="360" w:lineRule="auto"/>
        <w:ind w:firstLine="480" w:firstLineChars="200"/>
        <w:rPr>
          <w:rFonts w:hint="eastAsia" w:ascii="宋体" w:hAnsi="宋体" w:cs="Arial"/>
          <w:sz w:val="24"/>
        </w:rPr>
      </w:pPr>
      <w:r>
        <w:rPr>
          <w:rFonts w:hint="eastAsia" w:ascii="宋体" w:hAnsi="宋体" w:cs="Arial"/>
          <w:sz w:val="24"/>
        </w:rPr>
        <w:t>局放在线监测装置设备的设计、制造、检查、试验等必须遵守下列最新的标准，但不仅限于下列标准。如果本技术协议书同下列标准矛盾，乙方应以书面方式指出矛盾，并向用户解答。</w:t>
      </w:r>
    </w:p>
    <w:p w14:paraId="7B7569C5">
      <w:pPr>
        <w:spacing w:line="360" w:lineRule="auto"/>
        <w:ind w:firstLine="480" w:firstLineChars="200"/>
        <w:rPr>
          <w:rFonts w:hint="eastAsia" w:ascii="宋体" w:hAnsi="宋体" w:cs="Arial"/>
          <w:sz w:val="24"/>
        </w:rPr>
      </w:pPr>
      <w:r>
        <w:rPr>
          <w:rFonts w:hint="eastAsia" w:ascii="宋体" w:hAnsi="宋体" w:cs="Arial"/>
          <w:sz w:val="24"/>
        </w:rPr>
        <w:t>DL/T 5003-2017     电力系统调度自动化设计技术规程</w:t>
      </w:r>
    </w:p>
    <w:p w14:paraId="3027C52C">
      <w:pPr>
        <w:spacing w:line="360" w:lineRule="auto"/>
        <w:ind w:firstLine="480" w:firstLineChars="200"/>
        <w:rPr>
          <w:rFonts w:hint="eastAsia" w:ascii="宋体" w:hAnsi="宋体" w:cs="Arial"/>
          <w:sz w:val="24"/>
        </w:rPr>
      </w:pPr>
      <w:r>
        <w:rPr>
          <w:rFonts w:hint="eastAsia" w:ascii="宋体" w:hAnsi="宋体" w:cs="Arial"/>
          <w:sz w:val="24"/>
        </w:rPr>
        <w:t>DL/T 476-2012      电力系统实时数据通信应用层协议</w:t>
      </w:r>
    </w:p>
    <w:p w14:paraId="138601C2">
      <w:pPr>
        <w:spacing w:line="360" w:lineRule="auto"/>
        <w:ind w:firstLine="480" w:firstLineChars="200"/>
        <w:rPr>
          <w:rFonts w:hint="eastAsia" w:ascii="宋体" w:hAnsi="宋体" w:cs="Arial"/>
          <w:sz w:val="24"/>
        </w:rPr>
      </w:pPr>
      <w:r>
        <w:rPr>
          <w:rFonts w:hint="eastAsia" w:ascii="宋体" w:hAnsi="宋体" w:cs="Arial"/>
          <w:sz w:val="24"/>
        </w:rPr>
        <w:t>IEC 870-1          远动设备及系统总则一般原理和指导性规范</w:t>
      </w:r>
    </w:p>
    <w:p w14:paraId="7024A25C">
      <w:pPr>
        <w:spacing w:line="360" w:lineRule="auto"/>
        <w:ind w:firstLine="480" w:firstLineChars="200"/>
        <w:rPr>
          <w:rFonts w:hint="eastAsia" w:ascii="宋体" w:hAnsi="宋体" w:cs="Arial"/>
          <w:sz w:val="24"/>
        </w:rPr>
      </w:pPr>
      <w:r>
        <w:rPr>
          <w:rFonts w:hint="eastAsia" w:ascii="宋体" w:hAnsi="宋体" w:cs="Arial"/>
          <w:sz w:val="24"/>
        </w:rPr>
        <w:t>IEC 870-2          远动设备及系统工作条件环境条件和电源</w:t>
      </w:r>
    </w:p>
    <w:p w14:paraId="04DED848">
      <w:pPr>
        <w:spacing w:line="360" w:lineRule="auto"/>
        <w:ind w:firstLine="480" w:firstLineChars="200"/>
        <w:rPr>
          <w:rFonts w:hint="eastAsia" w:ascii="宋体" w:hAnsi="宋体" w:cs="Arial"/>
          <w:sz w:val="24"/>
        </w:rPr>
      </w:pPr>
      <w:r>
        <w:rPr>
          <w:rFonts w:hint="eastAsia" w:ascii="宋体" w:hAnsi="宋体" w:cs="Arial"/>
          <w:sz w:val="24"/>
        </w:rPr>
        <w:t>IEC 870-3          远动设备及系统接口（电气特性）</w:t>
      </w:r>
    </w:p>
    <w:p w14:paraId="31B7CC76">
      <w:pPr>
        <w:spacing w:line="360" w:lineRule="auto"/>
        <w:ind w:firstLine="480" w:firstLineChars="200"/>
        <w:rPr>
          <w:rFonts w:hint="eastAsia" w:ascii="宋体" w:hAnsi="宋体" w:cs="Arial"/>
          <w:sz w:val="24"/>
        </w:rPr>
      </w:pPr>
      <w:r>
        <w:rPr>
          <w:rFonts w:hint="eastAsia" w:ascii="宋体" w:hAnsi="宋体" w:cs="Arial"/>
          <w:sz w:val="24"/>
        </w:rPr>
        <w:t>IEC 870-4          远动设备及系统性能要求</w:t>
      </w:r>
    </w:p>
    <w:p w14:paraId="2B6E3F70">
      <w:pPr>
        <w:spacing w:line="360" w:lineRule="auto"/>
        <w:ind w:firstLine="480" w:firstLineChars="200"/>
        <w:rPr>
          <w:rFonts w:hint="eastAsia" w:ascii="宋体" w:hAnsi="宋体" w:cs="Arial"/>
          <w:sz w:val="24"/>
        </w:rPr>
      </w:pPr>
      <w:r>
        <w:rPr>
          <w:rFonts w:hint="eastAsia" w:ascii="宋体" w:hAnsi="宋体" w:cs="Arial"/>
          <w:sz w:val="24"/>
        </w:rPr>
        <w:t>IEC 870-5          远动设备及系统传输规约</w:t>
      </w:r>
    </w:p>
    <w:p w14:paraId="6E3320E4">
      <w:pPr>
        <w:spacing w:line="360" w:lineRule="auto"/>
        <w:ind w:firstLine="480" w:firstLineChars="200"/>
        <w:rPr>
          <w:rFonts w:hint="eastAsia" w:ascii="宋体" w:hAnsi="宋体" w:cs="Arial"/>
          <w:sz w:val="24"/>
        </w:rPr>
      </w:pPr>
      <w:r>
        <w:rPr>
          <w:rFonts w:hint="eastAsia" w:ascii="宋体" w:hAnsi="宋体" w:cs="Arial"/>
          <w:sz w:val="24"/>
        </w:rPr>
        <w:t>IEC 870-5-101      远动设备及系统传输规约基本远动配备标准</w:t>
      </w:r>
    </w:p>
    <w:p w14:paraId="2AAAF992">
      <w:pPr>
        <w:spacing w:line="360" w:lineRule="auto"/>
        <w:ind w:firstLine="480" w:firstLineChars="200"/>
        <w:rPr>
          <w:rFonts w:hint="eastAsia" w:ascii="宋体" w:hAnsi="宋体" w:cs="Arial"/>
          <w:sz w:val="24"/>
        </w:rPr>
      </w:pPr>
      <w:r>
        <w:rPr>
          <w:rFonts w:hint="eastAsia" w:ascii="宋体" w:hAnsi="宋体" w:cs="Arial"/>
          <w:sz w:val="24"/>
        </w:rPr>
        <w:t>IEC 870-5-103      远动设备及系统传输规约保护通信配套标准</w:t>
      </w:r>
    </w:p>
    <w:p w14:paraId="66D71347">
      <w:pPr>
        <w:spacing w:line="360" w:lineRule="auto"/>
        <w:ind w:firstLine="480" w:firstLineChars="200"/>
        <w:rPr>
          <w:rFonts w:hint="eastAsia" w:ascii="宋体" w:hAnsi="宋体" w:cs="Arial"/>
          <w:sz w:val="24"/>
        </w:rPr>
      </w:pPr>
      <w:r>
        <w:rPr>
          <w:rFonts w:hint="eastAsia" w:ascii="宋体" w:hAnsi="宋体" w:cs="Arial"/>
          <w:sz w:val="24"/>
        </w:rPr>
        <w:t>GB/T 2887-2011     计算机场地技术条件</w:t>
      </w:r>
    </w:p>
    <w:p w14:paraId="2D9F3C55">
      <w:pPr>
        <w:spacing w:line="360" w:lineRule="auto"/>
        <w:ind w:firstLine="480" w:firstLineChars="200"/>
        <w:rPr>
          <w:rFonts w:hint="eastAsia" w:ascii="宋体" w:hAnsi="宋体" w:cs="Arial"/>
          <w:sz w:val="24"/>
        </w:rPr>
      </w:pPr>
      <w:r>
        <w:rPr>
          <w:rFonts w:hint="eastAsia" w:ascii="宋体" w:hAnsi="宋体" w:cs="Arial"/>
          <w:sz w:val="24"/>
        </w:rPr>
        <w:t>GB/T 9813-2017     计算机通用规范</w:t>
      </w:r>
    </w:p>
    <w:p w14:paraId="1D191898">
      <w:pPr>
        <w:spacing w:line="360" w:lineRule="auto"/>
        <w:ind w:firstLine="480" w:firstLineChars="200"/>
        <w:rPr>
          <w:rFonts w:hint="eastAsia" w:ascii="宋体" w:hAnsi="宋体" w:cs="Arial"/>
          <w:sz w:val="24"/>
        </w:rPr>
      </w:pPr>
      <w:r>
        <w:rPr>
          <w:rFonts w:hint="eastAsia" w:ascii="宋体" w:hAnsi="宋体" w:cs="Arial"/>
          <w:sz w:val="24"/>
        </w:rPr>
        <w:t>GB/T 13729-2019    远动终端设备</w:t>
      </w:r>
    </w:p>
    <w:p w14:paraId="52BB52D2">
      <w:pPr>
        <w:spacing w:line="360" w:lineRule="auto"/>
        <w:ind w:firstLine="480" w:firstLineChars="200"/>
        <w:rPr>
          <w:rFonts w:hint="eastAsia" w:ascii="宋体" w:hAnsi="宋体" w:cs="Arial"/>
          <w:sz w:val="24"/>
        </w:rPr>
      </w:pPr>
      <w:r>
        <w:rPr>
          <w:rFonts w:hint="eastAsia" w:ascii="宋体" w:hAnsi="宋体" w:cs="Arial"/>
          <w:sz w:val="24"/>
        </w:rPr>
        <w:t>GB/T 13730-2002    地区电网调度自动化系统</w:t>
      </w:r>
    </w:p>
    <w:p w14:paraId="508898AC">
      <w:pPr>
        <w:spacing w:line="360" w:lineRule="auto"/>
        <w:ind w:firstLine="480" w:firstLineChars="200"/>
        <w:rPr>
          <w:rFonts w:hint="eastAsia" w:ascii="宋体" w:hAnsi="宋体" w:cs="Arial"/>
          <w:sz w:val="24"/>
        </w:rPr>
      </w:pPr>
      <w:r>
        <w:rPr>
          <w:rFonts w:hint="eastAsia" w:ascii="宋体" w:hAnsi="宋体" w:cs="Arial"/>
          <w:sz w:val="24"/>
        </w:rPr>
        <w:t>GB/T 7354-2018     高电压试验技术 局部放电测量</w:t>
      </w:r>
    </w:p>
    <w:p w14:paraId="6055ABB9">
      <w:pPr>
        <w:spacing w:line="360" w:lineRule="auto"/>
        <w:ind w:firstLine="480" w:firstLineChars="200"/>
        <w:rPr>
          <w:rFonts w:hint="eastAsia" w:ascii="宋体" w:hAnsi="宋体" w:cs="Arial"/>
          <w:sz w:val="24"/>
        </w:rPr>
      </w:pPr>
      <w:r>
        <w:rPr>
          <w:rFonts w:ascii="宋体" w:hAnsi="宋体" w:cs="Arial"/>
          <w:sz w:val="24"/>
        </w:rPr>
        <w:t>DL/T846.4</w:t>
      </w:r>
      <w:r>
        <w:rPr>
          <w:rFonts w:hint="eastAsia" w:ascii="宋体" w:hAnsi="宋体" w:cs="Arial"/>
          <w:sz w:val="24"/>
        </w:rPr>
        <w:t xml:space="preserve">          </w:t>
      </w:r>
      <w:r>
        <w:rPr>
          <w:rFonts w:ascii="宋体" w:hAnsi="宋体" w:cs="Arial"/>
          <w:sz w:val="24"/>
        </w:rPr>
        <w:t>高电压测试设备通用技术条件第4 部分：局部放电测量仪</w:t>
      </w:r>
    </w:p>
    <w:p w14:paraId="7B8CED6A">
      <w:pPr>
        <w:spacing w:line="360" w:lineRule="auto"/>
        <w:ind w:firstLine="480" w:firstLineChars="200"/>
        <w:rPr>
          <w:rFonts w:hint="eastAsia" w:ascii="宋体" w:hAnsi="宋体" w:cs="Arial"/>
          <w:sz w:val="24"/>
        </w:rPr>
      </w:pPr>
      <w:r>
        <w:rPr>
          <w:rFonts w:ascii="宋体" w:hAnsi="宋体" w:cs="Arial"/>
          <w:sz w:val="24"/>
        </w:rPr>
        <w:t>DL/T1432.1</w:t>
      </w:r>
      <w:r>
        <w:rPr>
          <w:rFonts w:hint="eastAsia" w:ascii="宋体" w:hAnsi="宋体" w:cs="Arial"/>
          <w:sz w:val="24"/>
        </w:rPr>
        <w:t xml:space="preserve">         </w:t>
      </w:r>
      <w:r>
        <w:rPr>
          <w:rFonts w:ascii="宋体" w:hAnsi="宋体" w:cs="Arial"/>
          <w:sz w:val="24"/>
        </w:rPr>
        <w:t>变电设备在线监测装置检验规范</w:t>
      </w:r>
    </w:p>
    <w:p w14:paraId="5EAB6CE5">
      <w:pPr>
        <w:spacing w:line="360" w:lineRule="auto"/>
        <w:ind w:firstLine="480" w:firstLineChars="200"/>
        <w:rPr>
          <w:rFonts w:hint="eastAsia" w:ascii="宋体" w:hAnsi="宋体" w:cs="Arial"/>
          <w:sz w:val="24"/>
        </w:rPr>
      </w:pPr>
      <w:r>
        <w:rPr>
          <w:rFonts w:hint="eastAsia" w:ascii="宋体" w:hAnsi="宋体" w:cs="Arial"/>
          <w:sz w:val="24"/>
        </w:rPr>
        <w:t>GB/T16927.1-2011高电压试验技术第1部分:一般定义和试验要求(IEC60060-1:2010,MOD)</w:t>
      </w:r>
    </w:p>
    <w:p w14:paraId="29797A81">
      <w:pPr>
        <w:spacing w:line="360" w:lineRule="auto"/>
        <w:ind w:firstLine="480" w:firstLineChars="200"/>
        <w:rPr>
          <w:rFonts w:hint="eastAsia" w:ascii="宋体" w:hAnsi="宋体" w:cs="Arial"/>
          <w:sz w:val="24"/>
        </w:rPr>
      </w:pPr>
      <w:r>
        <w:rPr>
          <w:rFonts w:hint="eastAsia" w:ascii="宋体" w:hAnsi="宋体" w:cs="Arial"/>
          <w:sz w:val="24"/>
        </w:rPr>
        <w:t>GB/T16927.2-2013高电压试验技术第2部分:测量系统(IFC60060-2:2010，MOD)</w:t>
      </w:r>
    </w:p>
    <w:p w14:paraId="2873B60C">
      <w:pPr>
        <w:spacing w:line="360" w:lineRule="auto"/>
        <w:ind w:firstLine="480" w:firstLineChars="200"/>
        <w:rPr>
          <w:rFonts w:hint="eastAsia" w:ascii="宋体" w:hAnsi="宋体" w:cs="Arial"/>
          <w:sz w:val="24"/>
        </w:rPr>
      </w:pPr>
      <w:r>
        <w:rPr>
          <w:rFonts w:hint="eastAsia" w:ascii="宋体" w:hAnsi="宋体" w:cs="Arial"/>
          <w:sz w:val="24"/>
        </w:rPr>
        <w:t>GB/T6113.101无线电骚扰和抗扰度测量设备和测量方法规范第1-1部分:无线电骚扰和抗扰度测量设备 测量设备(CISPR16-1-1:2010,IDT)</w:t>
      </w:r>
    </w:p>
    <w:p w14:paraId="24C38858">
      <w:pPr>
        <w:spacing w:line="360" w:lineRule="auto"/>
        <w:ind w:firstLine="480" w:firstLineChars="200"/>
        <w:rPr>
          <w:rFonts w:hint="eastAsia" w:ascii="宋体" w:hAnsi="宋体" w:cs="Arial"/>
          <w:sz w:val="24"/>
        </w:rPr>
      </w:pPr>
      <w:r>
        <w:rPr>
          <w:rFonts w:hint="eastAsia" w:ascii="宋体" w:hAnsi="宋体" w:cs="Arial"/>
          <w:sz w:val="24"/>
        </w:rPr>
        <w:t>DNP 3.0</w:t>
      </w:r>
      <w:r>
        <w:rPr>
          <w:rFonts w:hint="eastAsia" w:ascii="宋体" w:hAnsi="宋体" w:cs="Arial"/>
          <w:sz w:val="24"/>
        </w:rPr>
        <w:tab/>
      </w:r>
      <w:r>
        <w:rPr>
          <w:rFonts w:hint="eastAsia" w:ascii="宋体" w:hAnsi="宋体" w:cs="Arial"/>
          <w:sz w:val="24"/>
        </w:rPr>
        <w:t xml:space="preserve">         RTU通讯规约</w:t>
      </w:r>
    </w:p>
    <w:p w14:paraId="7670BC7A">
      <w:pPr>
        <w:spacing w:line="360" w:lineRule="auto"/>
        <w:ind w:firstLine="480" w:firstLineChars="200"/>
        <w:rPr>
          <w:rFonts w:hint="eastAsia" w:ascii="宋体" w:hAnsi="宋体" w:cs="Arial"/>
          <w:sz w:val="24"/>
        </w:rPr>
      </w:pPr>
      <w:r>
        <w:rPr>
          <w:rFonts w:hint="eastAsia" w:ascii="宋体" w:hAnsi="宋体" w:cs="Arial"/>
          <w:sz w:val="24"/>
        </w:rPr>
        <w:t>IEC 60870-5-101</w:t>
      </w:r>
      <w:r>
        <w:rPr>
          <w:rFonts w:hint="eastAsia" w:ascii="宋体" w:hAnsi="宋体" w:cs="Arial"/>
          <w:sz w:val="24"/>
        </w:rPr>
        <w:tab/>
      </w:r>
      <w:r>
        <w:rPr>
          <w:rFonts w:hint="eastAsia" w:ascii="宋体" w:hAnsi="宋体" w:cs="Arial"/>
          <w:sz w:val="24"/>
        </w:rPr>
        <w:t xml:space="preserve">  RTU通讯规约</w:t>
      </w:r>
    </w:p>
    <w:p w14:paraId="6FAB66B3">
      <w:pPr>
        <w:spacing w:line="360" w:lineRule="auto"/>
        <w:ind w:firstLine="480" w:firstLineChars="200"/>
        <w:rPr>
          <w:rFonts w:hint="eastAsia" w:ascii="宋体" w:hAnsi="宋体" w:cs="Arial"/>
          <w:sz w:val="24"/>
        </w:rPr>
      </w:pPr>
      <w:r>
        <w:rPr>
          <w:rFonts w:hint="eastAsia" w:ascii="宋体" w:hAnsi="宋体" w:cs="Arial"/>
          <w:sz w:val="24"/>
        </w:rPr>
        <w:t>ITU-T              国际电信联盟标准</w:t>
      </w:r>
    </w:p>
    <w:p w14:paraId="4FE507C5">
      <w:pPr>
        <w:spacing w:line="360" w:lineRule="auto"/>
        <w:ind w:firstLine="480" w:firstLineChars="200"/>
        <w:rPr>
          <w:rFonts w:hint="eastAsia" w:ascii="宋体" w:hAnsi="宋体" w:cs="Arial"/>
          <w:sz w:val="24"/>
        </w:rPr>
      </w:pPr>
      <w:r>
        <w:rPr>
          <w:rFonts w:hint="eastAsia" w:ascii="宋体" w:hAnsi="宋体" w:cs="Arial"/>
          <w:sz w:val="24"/>
        </w:rPr>
        <w:t>IEEE               美国电气电子工程师协会标准</w:t>
      </w:r>
    </w:p>
    <w:p w14:paraId="516A632F">
      <w:pPr>
        <w:spacing w:line="360" w:lineRule="auto"/>
        <w:ind w:firstLine="480" w:firstLineChars="200"/>
        <w:rPr>
          <w:rFonts w:hint="eastAsia" w:ascii="宋体" w:hAnsi="宋体" w:cs="Arial"/>
          <w:sz w:val="24"/>
        </w:rPr>
      </w:pPr>
      <w:r>
        <w:rPr>
          <w:rFonts w:hint="eastAsia" w:ascii="宋体" w:hAnsi="宋体" w:cs="Arial"/>
          <w:sz w:val="24"/>
        </w:rPr>
        <w:t>EIA                电子工业协会标准</w:t>
      </w:r>
    </w:p>
    <w:p w14:paraId="5423A262">
      <w:pPr>
        <w:spacing w:line="360" w:lineRule="auto"/>
        <w:ind w:firstLine="480" w:firstLineChars="200"/>
        <w:rPr>
          <w:rFonts w:hint="eastAsia" w:ascii="宋体" w:hAnsi="宋体" w:cs="Arial"/>
          <w:sz w:val="24"/>
        </w:rPr>
      </w:pPr>
      <w:r>
        <w:rPr>
          <w:rFonts w:hint="eastAsia" w:ascii="宋体" w:hAnsi="宋体" w:cs="Arial"/>
          <w:sz w:val="24"/>
        </w:rPr>
        <w:t>&lt;&lt;电力系统调度自动化系统设计内容深度规定&gt;&gt;</w:t>
      </w:r>
    </w:p>
    <w:p w14:paraId="1524F359">
      <w:pPr>
        <w:spacing w:line="360" w:lineRule="auto"/>
        <w:ind w:firstLine="480" w:firstLineChars="200"/>
        <w:rPr>
          <w:rFonts w:hint="eastAsia" w:ascii="宋体" w:hAnsi="宋体" w:cs="Arial"/>
          <w:sz w:val="24"/>
        </w:rPr>
      </w:pPr>
      <w:r>
        <w:rPr>
          <w:rFonts w:hint="eastAsia" w:ascii="宋体" w:hAnsi="宋体" w:cs="Arial"/>
          <w:sz w:val="24"/>
        </w:rPr>
        <w:t>&lt;&lt;电力系统设计实时计算机系统运行管理规程&gt;&gt;</w:t>
      </w:r>
    </w:p>
    <w:p w14:paraId="19352633">
      <w:pPr>
        <w:spacing w:line="360" w:lineRule="auto"/>
        <w:ind w:firstLine="480" w:firstLineChars="200"/>
        <w:rPr>
          <w:rFonts w:hint="eastAsia" w:ascii="宋体" w:hAnsi="宋体" w:cs="Arial"/>
          <w:sz w:val="24"/>
        </w:rPr>
      </w:pPr>
      <w:r>
        <w:rPr>
          <w:rFonts w:hint="eastAsia" w:ascii="宋体" w:hAnsi="宋体" w:cs="Arial"/>
          <w:sz w:val="24"/>
        </w:rPr>
        <w:t>未列出之标准应按中华人民共和国国家标准（GB）或国际电工标准（IEC）及行业标准规范执行。</w:t>
      </w:r>
    </w:p>
    <w:p w14:paraId="0E52A5FC">
      <w:pPr>
        <w:spacing w:line="360" w:lineRule="auto"/>
        <w:rPr>
          <w:rFonts w:hint="eastAsia" w:ascii="宋体" w:hAnsi="宋体" w:cs="宋体"/>
          <w:b/>
          <w:bCs/>
          <w:sz w:val="28"/>
          <w:szCs w:val="28"/>
        </w:rPr>
      </w:pPr>
      <w:r>
        <w:rPr>
          <w:rFonts w:hint="eastAsia" w:ascii="宋体" w:hAnsi="宋体" w:cs="宋体"/>
          <w:b/>
          <w:bCs/>
          <w:sz w:val="28"/>
          <w:szCs w:val="28"/>
        </w:rPr>
        <w:t>3、工况条件及设计要求</w:t>
      </w:r>
    </w:p>
    <w:p w14:paraId="6CFD9082">
      <w:pPr>
        <w:widowControl/>
        <w:spacing w:line="360" w:lineRule="auto"/>
        <w:ind w:firstLine="480" w:firstLineChars="200"/>
        <w:jc w:val="left"/>
        <w:rPr>
          <w:rFonts w:hint="eastAsia" w:ascii="宋体" w:hAnsi="宋体"/>
          <w:bCs/>
          <w:sz w:val="24"/>
        </w:rPr>
      </w:pPr>
      <w:r>
        <w:rPr>
          <w:rFonts w:hint="eastAsia" w:ascii="宋体" w:hAnsi="宋体"/>
          <w:bCs/>
          <w:sz w:val="24"/>
        </w:rPr>
        <w:t>设备安装环境：           户内</w:t>
      </w:r>
    </w:p>
    <w:p w14:paraId="123AECEF">
      <w:pPr>
        <w:widowControl/>
        <w:spacing w:line="360" w:lineRule="auto"/>
        <w:ind w:firstLine="480" w:firstLineChars="200"/>
        <w:jc w:val="left"/>
        <w:rPr>
          <w:rFonts w:hint="eastAsia" w:ascii="宋体" w:hAnsi="宋体"/>
          <w:bCs/>
          <w:sz w:val="24"/>
        </w:rPr>
      </w:pPr>
      <w:r>
        <w:rPr>
          <w:rFonts w:hint="eastAsia" w:ascii="宋体" w:hAnsi="宋体"/>
          <w:bCs/>
          <w:sz w:val="24"/>
        </w:rPr>
        <w:t>电厂海拔高度：           ≤1000米</w:t>
      </w:r>
    </w:p>
    <w:p w14:paraId="5770F58D">
      <w:pPr>
        <w:widowControl/>
        <w:spacing w:line="360" w:lineRule="auto"/>
        <w:ind w:firstLine="480" w:firstLineChars="200"/>
        <w:jc w:val="left"/>
        <w:rPr>
          <w:rFonts w:hint="eastAsia" w:ascii="宋体" w:hAnsi="宋体"/>
          <w:bCs/>
          <w:sz w:val="24"/>
        </w:rPr>
      </w:pPr>
      <w:r>
        <w:rPr>
          <w:rFonts w:hint="eastAsia" w:ascii="宋体" w:hAnsi="宋体"/>
          <w:bCs/>
          <w:sz w:val="24"/>
        </w:rPr>
        <w:t>室内最高气温：           +40℃</w:t>
      </w:r>
    </w:p>
    <w:p w14:paraId="49D2FCA6">
      <w:pPr>
        <w:widowControl/>
        <w:spacing w:line="360" w:lineRule="auto"/>
        <w:ind w:firstLine="480" w:firstLineChars="200"/>
        <w:jc w:val="left"/>
        <w:rPr>
          <w:rFonts w:hint="eastAsia" w:ascii="宋体" w:hAnsi="宋体"/>
          <w:bCs/>
          <w:sz w:val="24"/>
        </w:rPr>
      </w:pPr>
      <w:r>
        <w:rPr>
          <w:rFonts w:hint="eastAsia" w:ascii="宋体" w:hAnsi="宋体"/>
          <w:bCs/>
          <w:sz w:val="24"/>
        </w:rPr>
        <w:t>室内最低气温：           -5℃</w:t>
      </w:r>
    </w:p>
    <w:p w14:paraId="39F20F4F">
      <w:pPr>
        <w:widowControl/>
        <w:spacing w:line="360" w:lineRule="auto"/>
        <w:ind w:firstLine="480" w:firstLineChars="200"/>
        <w:jc w:val="left"/>
        <w:rPr>
          <w:rFonts w:hint="eastAsia" w:ascii="宋体" w:hAnsi="宋体"/>
          <w:bCs/>
          <w:sz w:val="24"/>
        </w:rPr>
      </w:pPr>
      <w:r>
        <w:rPr>
          <w:rFonts w:hint="eastAsia" w:ascii="宋体" w:hAnsi="宋体"/>
          <w:bCs/>
          <w:sz w:val="24"/>
        </w:rPr>
        <w:t>室内相对湿度：           90%（25℃环境温度）</w:t>
      </w:r>
    </w:p>
    <w:p w14:paraId="5DD8B251">
      <w:pPr>
        <w:widowControl/>
        <w:spacing w:line="360" w:lineRule="auto"/>
        <w:ind w:firstLine="480" w:firstLineChars="200"/>
        <w:jc w:val="left"/>
        <w:rPr>
          <w:rFonts w:hint="eastAsia" w:ascii="宋体" w:hAnsi="宋体"/>
          <w:bCs/>
          <w:sz w:val="24"/>
        </w:rPr>
      </w:pPr>
      <w:r>
        <w:rPr>
          <w:rFonts w:hint="eastAsia" w:ascii="宋体" w:hAnsi="宋体"/>
          <w:bCs/>
          <w:sz w:val="24"/>
        </w:rPr>
        <w:t>基本地震烈度：           七度</w:t>
      </w:r>
    </w:p>
    <w:p w14:paraId="54313865">
      <w:pPr>
        <w:widowControl/>
        <w:spacing w:line="360" w:lineRule="auto"/>
        <w:ind w:firstLine="480" w:firstLineChars="200"/>
        <w:jc w:val="left"/>
        <w:rPr>
          <w:rFonts w:hint="eastAsia" w:ascii="宋体" w:hAnsi="宋体"/>
          <w:bCs/>
          <w:sz w:val="24"/>
        </w:rPr>
      </w:pPr>
      <w:r>
        <w:rPr>
          <w:rFonts w:hint="eastAsia" w:ascii="宋体" w:hAnsi="宋体"/>
          <w:bCs/>
          <w:sz w:val="24"/>
        </w:rPr>
        <w:t>地面水平加速度：</w:t>
      </w:r>
      <w:r>
        <w:rPr>
          <w:rFonts w:hint="eastAsia" w:ascii="宋体" w:hAnsi="宋体"/>
          <w:bCs/>
          <w:sz w:val="24"/>
        </w:rPr>
        <w:tab/>
      </w:r>
      <w:r>
        <w:rPr>
          <w:rFonts w:hint="eastAsia" w:ascii="宋体" w:hAnsi="宋体"/>
          <w:bCs/>
          <w:sz w:val="24"/>
        </w:rPr>
        <w:t xml:space="preserve">        0.25X2g </w:t>
      </w:r>
    </w:p>
    <w:p w14:paraId="605985A6">
      <w:pPr>
        <w:widowControl/>
        <w:spacing w:line="360" w:lineRule="auto"/>
        <w:ind w:firstLine="480" w:firstLineChars="200"/>
        <w:jc w:val="left"/>
        <w:rPr>
          <w:rFonts w:hint="eastAsia" w:ascii="宋体" w:hAnsi="宋体"/>
          <w:bCs/>
          <w:sz w:val="24"/>
        </w:rPr>
      </w:pPr>
      <w:r>
        <w:rPr>
          <w:rFonts w:hint="eastAsia" w:ascii="宋体" w:hAnsi="宋体"/>
          <w:bCs/>
          <w:sz w:val="24"/>
        </w:rPr>
        <w:t xml:space="preserve">安全系数：               </w:t>
      </w:r>
      <w:r>
        <w:rPr>
          <w:rFonts w:hint="eastAsia" w:ascii="宋体" w:hAnsi="宋体"/>
          <w:bCs/>
          <w:sz w:val="24"/>
        </w:rPr>
        <w:sym w:font="Symbol" w:char="F0B3"/>
      </w:r>
      <w:r>
        <w:rPr>
          <w:rFonts w:hint="eastAsia" w:ascii="宋体" w:hAnsi="宋体"/>
          <w:bCs/>
          <w:sz w:val="24"/>
        </w:rPr>
        <w:t>1.67</w:t>
      </w:r>
    </w:p>
    <w:p w14:paraId="27D2AE23">
      <w:pPr>
        <w:widowControl/>
        <w:spacing w:line="360" w:lineRule="auto"/>
        <w:ind w:firstLine="480" w:firstLineChars="200"/>
        <w:jc w:val="left"/>
      </w:pPr>
      <w:r>
        <w:rPr>
          <w:rFonts w:hint="eastAsia" w:ascii="宋体" w:hAnsi="宋体"/>
          <w:bCs/>
          <w:sz w:val="24"/>
        </w:rPr>
        <w:t>水平加速度和垂直加速度同时作用，产品的机械强度应根据上述耐受能力所要求的加速度导致的动态负荷全动态法进行计算和试验，其条件是：共振频率，时间为正弦五周波。</w:t>
      </w:r>
    </w:p>
    <w:p w14:paraId="58E13EF8">
      <w:pPr>
        <w:pStyle w:val="2"/>
        <w:spacing w:before="0" w:after="0" w:line="360" w:lineRule="auto"/>
        <w:rPr>
          <w:rFonts w:hint="eastAsia" w:ascii="宋体" w:hAnsi="宋体" w:cs="宋体"/>
          <w:sz w:val="28"/>
          <w:szCs w:val="28"/>
        </w:rPr>
      </w:pPr>
      <w:bookmarkStart w:id="2" w:name="_Toc205546292"/>
      <w:r>
        <w:rPr>
          <w:rFonts w:hint="eastAsia" w:ascii="宋体" w:hAnsi="宋体" w:cs="宋体"/>
          <w:sz w:val="28"/>
          <w:szCs w:val="28"/>
        </w:rPr>
        <w:t>4、技术要求及验收要求</w:t>
      </w:r>
      <w:bookmarkEnd w:id="2"/>
    </w:p>
    <w:p w14:paraId="52B667A2">
      <w:pPr>
        <w:widowControl/>
        <w:spacing w:line="360" w:lineRule="auto"/>
        <w:ind w:firstLine="480" w:firstLineChars="200"/>
        <w:jc w:val="left"/>
        <w:rPr>
          <w:rFonts w:hint="eastAsia" w:ascii="宋体" w:hAnsi="宋体"/>
          <w:bCs/>
          <w:sz w:val="24"/>
        </w:rPr>
      </w:pPr>
      <w:r>
        <w:rPr>
          <w:rFonts w:hint="eastAsia" w:ascii="宋体" w:hAnsi="宋体" w:cs="Arial"/>
          <w:sz w:val="24"/>
        </w:rPr>
        <w:t>局放在线监测装置</w:t>
      </w:r>
      <w:r>
        <w:rPr>
          <w:rFonts w:hint="eastAsia" w:ascii="宋体" w:hAnsi="宋体"/>
          <w:bCs/>
          <w:sz w:val="24"/>
        </w:rPr>
        <w:t>应具有当前国际上先进的水平，在使用中应满足现场的环境及控制要求。所供设备为成套产品，并在所提供的原厂相关技术样本中有相对应的型号，在投标时提供装置电气原理图及外型尺寸图纸。</w:t>
      </w:r>
    </w:p>
    <w:p w14:paraId="472C44F0">
      <w:pPr>
        <w:widowControl/>
        <w:spacing w:line="360" w:lineRule="auto"/>
        <w:ind w:firstLine="480" w:firstLineChars="200"/>
        <w:jc w:val="left"/>
        <w:rPr>
          <w:rFonts w:hint="eastAsia" w:cs="Arial" w:asciiTheme="minorEastAsia" w:hAnsiTheme="minorEastAsia" w:eastAsiaTheme="minorEastAsia"/>
          <w:sz w:val="24"/>
        </w:rPr>
      </w:pPr>
      <w:r>
        <w:rPr>
          <w:rFonts w:hint="eastAsia" w:cs="Arial" w:asciiTheme="minorEastAsia" w:hAnsiTheme="minorEastAsia" w:eastAsiaTheme="minorEastAsia"/>
          <w:sz w:val="24"/>
        </w:rPr>
        <w:t>局放在线监测装置应能够接入现有配电室智能监测系统，应以数据标准化为核心，实现对设备运</w:t>
      </w:r>
      <w:r>
        <w:rPr>
          <w:rFonts w:hint="eastAsia" w:ascii="微软雅黑" w:hAnsi="微软雅黑" w:eastAsia="微软雅黑" w:cs="微软雅黑"/>
          <w:sz w:val="24"/>
        </w:rPr>
        <w:t>⾏</w:t>
      </w:r>
      <w:r>
        <w:rPr>
          <w:rFonts w:hint="eastAsia" w:cs="宋体" w:asciiTheme="minorEastAsia" w:hAnsiTheme="minorEastAsia" w:eastAsiaTheme="minorEastAsia"/>
          <w:sz w:val="24"/>
        </w:rPr>
        <w:t>、维护、分析的管理，实现对电</w:t>
      </w:r>
      <w:r>
        <w:rPr>
          <w:rFonts w:hint="eastAsia" w:ascii="微软雅黑" w:hAnsi="微软雅黑" w:eastAsia="微软雅黑" w:cs="微软雅黑"/>
          <w:sz w:val="24"/>
        </w:rPr>
        <w:t>⽓</w:t>
      </w:r>
      <w:r>
        <w:rPr>
          <w:rFonts w:hint="eastAsia" w:cs="宋体" w:asciiTheme="minorEastAsia" w:hAnsiTheme="minorEastAsia" w:eastAsiaTheme="minorEastAsia"/>
          <w:sz w:val="24"/>
        </w:rPr>
        <w:t>设备的故障诊断、状态评估、预知性维护的</w:t>
      </w:r>
      <w:r>
        <w:rPr>
          <w:rFonts w:hint="eastAsia" w:ascii="微软雅黑" w:hAnsi="微软雅黑" w:eastAsia="微软雅黑" w:cs="微软雅黑"/>
          <w:sz w:val="24"/>
        </w:rPr>
        <w:t>⼀</w:t>
      </w:r>
      <w:r>
        <w:rPr>
          <w:rFonts w:hint="eastAsia" w:cs="宋体" w:asciiTheme="minorEastAsia" w:hAnsiTheme="minorEastAsia" w:eastAsiaTheme="minorEastAsia"/>
          <w:sz w:val="24"/>
        </w:rPr>
        <w:t>体化监管，全</w:t>
      </w:r>
      <w:r>
        <w:rPr>
          <w:rFonts w:hint="eastAsia" w:ascii="微软雅黑" w:hAnsi="微软雅黑" w:eastAsia="微软雅黑" w:cs="微软雅黑"/>
          <w:sz w:val="24"/>
        </w:rPr>
        <w:t>⾯</w:t>
      </w:r>
      <w:r>
        <w:rPr>
          <w:rFonts w:hint="eastAsia" w:cs="宋体" w:asciiTheme="minorEastAsia" w:hAnsiTheme="minorEastAsia" w:eastAsiaTheme="minorEastAsia"/>
          <w:sz w:val="24"/>
        </w:rPr>
        <w:t>掌握</w:t>
      </w:r>
      <w:r>
        <w:rPr>
          <w:rFonts w:hint="eastAsia" w:cs="Arial" w:asciiTheme="minorEastAsia" w:hAnsiTheme="minorEastAsia" w:eastAsiaTheme="minorEastAsia"/>
          <w:sz w:val="24"/>
        </w:rPr>
        <w:t>局放在线监测装置的状态信息。同时解决设备管理过程中需要跟踪并生成相应数据的问题，做到数据分析和报表可视化管理。</w:t>
      </w:r>
    </w:p>
    <w:p w14:paraId="06D2D638">
      <w:pPr>
        <w:widowControl/>
        <w:spacing w:line="360" w:lineRule="auto"/>
        <w:ind w:firstLine="480" w:firstLineChars="200"/>
        <w:jc w:val="left"/>
        <w:rPr>
          <w:rFonts w:hint="eastAsia" w:ascii="宋体" w:hAnsi="宋体"/>
          <w:bCs/>
          <w:sz w:val="24"/>
        </w:rPr>
      </w:pPr>
      <w:r>
        <w:rPr>
          <w:rFonts w:hint="eastAsia" w:ascii="宋体" w:hAnsi="宋体"/>
          <w:bCs/>
          <w:sz w:val="24"/>
        </w:rPr>
        <w:t>除整体组网完成后可于后台机显示外，还应具备传输至集团公司数据中心供设备监控系统调阅之功能。</w:t>
      </w:r>
    </w:p>
    <w:p w14:paraId="25903AED">
      <w:pPr>
        <w:widowControl/>
        <w:spacing w:line="360" w:lineRule="auto"/>
        <w:jc w:val="left"/>
        <w:rPr>
          <w:rFonts w:hint="eastAsia" w:ascii="宋体" w:hAnsi="宋体"/>
          <w:b/>
          <w:sz w:val="24"/>
        </w:rPr>
      </w:pPr>
      <w:r>
        <w:rPr>
          <w:rFonts w:hint="eastAsia" w:ascii="宋体" w:hAnsi="宋体"/>
          <w:b/>
          <w:sz w:val="24"/>
        </w:rPr>
        <w:t>4.1.</w:t>
      </w:r>
      <w:r>
        <w:rPr>
          <w:rFonts w:ascii="宋体" w:hAnsi="宋体"/>
          <w:b/>
          <w:sz w:val="24"/>
        </w:rPr>
        <w:t>供货范围</w:t>
      </w:r>
    </w:p>
    <w:p w14:paraId="24BAB721">
      <w:pPr>
        <w:widowControl/>
        <w:spacing w:line="360" w:lineRule="auto"/>
        <w:ind w:firstLine="482" w:firstLineChars="200"/>
        <w:jc w:val="left"/>
        <w:rPr>
          <w:rFonts w:hint="eastAsia" w:ascii="宋体" w:hAnsi="宋体"/>
          <w:b/>
          <w:color w:val="FF0000"/>
          <w:sz w:val="24"/>
          <w:highlight w:val="none"/>
        </w:rPr>
      </w:pPr>
      <w:r>
        <w:rPr>
          <w:rFonts w:hint="eastAsia" w:ascii="宋体" w:hAnsi="宋体"/>
          <w:b/>
          <w:color w:val="FF0000"/>
          <w:sz w:val="24"/>
          <w:highlight w:val="none"/>
        </w:rPr>
        <w:t>供货范围包括所需的全部设备、材料及其安装、调试。</w:t>
      </w:r>
    </w:p>
    <w:p w14:paraId="18968586">
      <w:pPr>
        <w:widowControl/>
        <w:spacing w:line="360" w:lineRule="auto"/>
        <w:jc w:val="left"/>
        <w:rPr>
          <w:rFonts w:hint="eastAsia" w:ascii="宋体" w:hAnsi="宋体"/>
          <w:bCs/>
          <w:sz w:val="24"/>
        </w:rPr>
      </w:pPr>
      <w:r>
        <w:rPr>
          <w:rFonts w:hint="eastAsia" w:ascii="宋体" w:hAnsi="宋体"/>
          <w:bCs/>
          <w:sz w:val="24"/>
        </w:rPr>
        <w:t>4.1.1 设备清单</w:t>
      </w:r>
    </w:p>
    <w:p w14:paraId="0504036A">
      <w:pPr>
        <w:widowControl/>
        <w:spacing w:line="360" w:lineRule="auto"/>
        <w:ind w:firstLine="480" w:firstLineChars="200"/>
        <w:jc w:val="left"/>
        <w:rPr>
          <w:rFonts w:hint="eastAsia" w:ascii="宋体" w:hAnsi="宋体" w:cs="Arial"/>
          <w:sz w:val="24"/>
        </w:rPr>
      </w:pPr>
      <w:r>
        <w:rPr>
          <w:rFonts w:hint="eastAsia" w:ascii="宋体" w:hAnsi="宋体" w:cs="Arial"/>
          <w:sz w:val="24"/>
        </w:rPr>
        <w:t>本次供货范围需满足：33面35kV SF6充气柜、341面10kV金属封闭全绝缘柜、152面10kV KYN28柜及12处35kV电缆中间接头局放在线监测之需要，乙方自行组网，</w:t>
      </w:r>
      <w:r>
        <w:rPr>
          <w:rFonts w:hint="eastAsia" w:ascii="宋体" w:hAnsi="宋体" w:cs="Arial"/>
          <w:b/>
          <w:bCs/>
          <w:color w:val="FF0000"/>
          <w:sz w:val="24"/>
          <w:highlight w:val="none"/>
        </w:rPr>
        <w:t>服务器放置于110kV致远站内，后台机放置于致远站值班室内。集成后的数据上传至集团公司数据中心供设备监控系统调用。</w:t>
      </w:r>
    </w:p>
    <w:p w14:paraId="42CC3113">
      <w:pPr>
        <w:widowControl/>
        <w:spacing w:line="360" w:lineRule="auto"/>
        <w:jc w:val="left"/>
        <w:rPr>
          <w:rFonts w:hint="eastAsia" w:ascii="宋体" w:hAnsi="宋体"/>
          <w:b/>
          <w:sz w:val="24"/>
        </w:rPr>
      </w:pPr>
      <w:bookmarkStart w:id="3" w:name="_Toc20631"/>
      <w:bookmarkStart w:id="4" w:name="_Toc2467"/>
      <w:r>
        <w:rPr>
          <w:rFonts w:hint="eastAsia" w:ascii="宋体" w:hAnsi="宋体"/>
          <w:b/>
          <w:sz w:val="24"/>
        </w:rPr>
        <w:t>4.2 技术要求</w:t>
      </w:r>
      <w:bookmarkEnd w:id="3"/>
      <w:bookmarkEnd w:id="4"/>
    </w:p>
    <w:p w14:paraId="7CE3B5C6">
      <w:pPr>
        <w:widowControl/>
        <w:spacing w:line="360" w:lineRule="auto"/>
        <w:jc w:val="left"/>
        <w:rPr>
          <w:rFonts w:hint="eastAsia" w:ascii="宋体" w:hAnsi="宋体"/>
          <w:bCs/>
          <w:sz w:val="24"/>
        </w:rPr>
      </w:pPr>
      <w:r>
        <w:rPr>
          <w:rFonts w:hint="eastAsia" w:ascii="宋体" w:hAnsi="宋体"/>
          <w:bCs/>
          <w:sz w:val="24"/>
        </w:rPr>
        <w:t>4.2.1 局放在线监测：</w:t>
      </w:r>
      <w:r>
        <w:rPr>
          <w:rFonts w:hint="eastAsia" w:ascii="宋体" w:hAnsi="宋体"/>
          <w:b/>
          <w:color w:val="FF0000"/>
          <w:sz w:val="24"/>
          <w:highlight w:val="none"/>
        </w:rPr>
        <w:t>采用脉冲电流法</w:t>
      </w:r>
      <w:r>
        <w:rPr>
          <w:rFonts w:hint="eastAsia" w:ascii="宋体" w:hAnsi="宋体"/>
          <w:bCs/>
          <w:sz w:val="24"/>
        </w:rPr>
        <w:t>。个别点位为保证监测效果可辅以其他方式（如特高频、地电压、超声波、高频电流等方式</w:t>
      </w:r>
      <w:r>
        <w:rPr>
          <w:rFonts w:ascii="宋体" w:hAnsi="宋体"/>
          <w:bCs/>
          <w:sz w:val="24"/>
        </w:rPr>
        <w:t>）</w:t>
      </w:r>
      <w:r>
        <w:rPr>
          <w:rFonts w:hint="eastAsia" w:ascii="宋体" w:hAnsi="宋体"/>
          <w:bCs/>
          <w:sz w:val="24"/>
        </w:rPr>
        <w:t>，对辅助方式不做强制要求。</w:t>
      </w:r>
    </w:p>
    <w:p w14:paraId="10EE17F5">
      <w:pPr>
        <w:widowControl/>
        <w:spacing w:line="360" w:lineRule="auto"/>
        <w:jc w:val="left"/>
        <w:rPr>
          <w:rFonts w:hint="eastAsia" w:ascii="宋体" w:hAnsi="宋体"/>
          <w:bCs/>
          <w:sz w:val="24"/>
        </w:rPr>
      </w:pPr>
      <w:r>
        <w:rPr>
          <w:rFonts w:hint="eastAsia" w:ascii="宋体" w:hAnsi="宋体"/>
          <w:bCs/>
          <w:sz w:val="24"/>
        </w:rPr>
        <w:t>4.2.2工作电源：AC/DC 220V±10%。</w:t>
      </w:r>
    </w:p>
    <w:p w14:paraId="41341341">
      <w:pPr>
        <w:widowControl/>
        <w:spacing w:line="360" w:lineRule="auto"/>
        <w:jc w:val="left"/>
        <w:rPr>
          <w:rFonts w:hint="eastAsia" w:ascii="宋体" w:hAnsi="宋体"/>
          <w:bCs/>
          <w:sz w:val="24"/>
        </w:rPr>
      </w:pPr>
      <w:r>
        <w:rPr>
          <w:rFonts w:hint="eastAsia" w:ascii="宋体" w:hAnsi="宋体"/>
          <w:bCs/>
          <w:sz w:val="24"/>
        </w:rPr>
        <w:t>4.2.3防护等级：不低于IP54，电缆中间头处设备不低于IP67</w:t>
      </w:r>
    </w:p>
    <w:p w14:paraId="4342CCB6">
      <w:pPr>
        <w:widowControl/>
        <w:spacing w:line="360" w:lineRule="auto"/>
        <w:jc w:val="left"/>
        <w:rPr>
          <w:rFonts w:hint="eastAsia" w:ascii="宋体" w:hAnsi="宋体"/>
          <w:bCs/>
          <w:sz w:val="24"/>
        </w:rPr>
      </w:pPr>
      <w:r>
        <w:rPr>
          <w:rFonts w:hint="eastAsia" w:ascii="宋体" w:hAnsi="宋体"/>
          <w:bCs/>
          <w:sz w:val="24"/>
        </w:rPr>
        <w:t>4.2.4核心参数要求：</w:t>
      </w:r>
    </w:p>
    <w:p w14:paraId="2C6D2EE2">
      <w:pPr>
        <w:widowControl/>
        <w:spacing w:line="360" w:lineRule="auto"/>
        <w:jc w:val="left"/>
        <w:rPr>
          <w:rFonts w:hint="eastAsia" w:ascii="宋体" w:hAnsi="宋体"/>
          <w:bCs/>
          <w:sz w:val="24"/>
        </w:rPr>
      </w:pPr>
      <w:r>
        <w:rPr>
          <w:rFonts w:hint="eastAsia" w:ascii="宋体" w:hAnsi="宋体"/>
          <w:bCs/>
          <w:sz w:val="24"/>
        </w:rPr>
        <w:t>1）灵敏度:≤5pC;</w:t>
      </w:r>
    </w:p>
    <w:p w14:paraId="3610F395">
      <w:pPr>
        <w:widowControl/>
        <w:spacing w:line="360" w:lineRule="auto"/>
        <w:jc w:val="left"/>
        <w:rPr>
          <w:rFonts w:hint="eastAsia" w:ascii="宋体" w:hAnsi="宋体"/>
          <w:bCs/>
          <w:sz w:val="24"/>
        </w:rPr>
      </w:pPr>
      <w:r>
        <w:rPr>
          <w:rFonts w:hint="eastAsia" w:ascii="宋体" w:hAnsi="宋体"/>
          <w:bCs/>
          <w:sz w:val="24"/>
        </w:rPr>
        <w:t>2）监测量程:≥5000pC；</w:t>
      </w:r>
    </w:p>
    <w:p w14:paraId="3C891F06">
      <w:pPr>
        <w:widowControl/>
        <w:spacing w:line="360" w:lineRule="auto"/>
        <w:jc w:val="left"/>
        <w:rPr>
          <w:rFonts w:hint="eastAsia" w:ascii="宋体" w:hAnsi="宋体"/>
          <w:bCs/>
          <w:sz w:val="24"/>
        </w:rPr>
      </w:pPr>
      <w:r>
        <w:rPr>
          <w:rFonts w:hint="eastAsia" w:ascii="宋体" w:hAnsi="宋体"/>
          <w:bCs/>
          <w:sz w:val="24"/>
        </w:rPr>
        <w:t>3）监测频宽：10</w:t>
      </w:r>
      <w:r>
        <w:rPr>
          <w:rFonts w:ascii="宋体" w:hAnsi="宋体"/>
          <w:bCs/>
          <w:sz w:val="24"/>
        </w:rPr>
        <w:t>—</w:t>
      </w:r>
      <w:r>
        <w:rPr>
          <w:rFonts w:hint="eastAsia" w:ascii="宋体" w:hAnsi="宋体"/>
          <w:bCs/>
          <w:sz w:val="24"/>
        </w:rPr>
        <w:t>100M HZ;</w:t>
      </w:r>
    </w:p>
    <w:p w14:paraId="301A8B83">
      <w:pPr>
        <w:widowControl/>
        <w:spacing w:line="360" w:lineRule="auto"/>
        <w:jc w:val="left"/>
        <w:rPr>
          <w:rFonts w:hint="eastAsia" w:ascii="宋体" w:hAnsi="宋体"/>
          <w:bCs/>
          <w:sz w:val="24"/>
        </w:rPr>
      </w:pPr>
      <w:r>
        <w:rPr>
          <w:rFonts w:hint="eastAsia" w:ascii="宋体" w:hAnsi="宋体"/>
          <w:bCs/>
          <w:sz w:val="24"/>
        </w:rPr>
        <w:t>4）测量偏差:＜10%；</w:t>
      </w:r>
    </w:p>
    <w:p w14:paraId="593E8EA8">
      <w:pPr>
        <w:widowControl/>
        <w:spacing w:line="360" w:lineRule="auto"/>
        <w:jc w:val="left"/>
        <w:rPr>
          <w:rFonts w:hint="eastAsia" w:ascii="宋体" w:hAnsi="宋体"/>
          <w:bCs/>
          <w:sz w:val="24"/>
        </w:rPr>
      </w:pPr>
      <w:r>
        <w:rPr>
          <w:rFonts w:hint="eastAsia" w:ascii="宋体" w:hAnsi="宋体"/>
          <w:bCs/>
          <w:sz w:val="24"/>
        </w:rPr>
        <w:t>5）放电频度范围:10~5000p/s；</w:t>
      </w:r>
    </w:p>
    <w:p w14:paraId="24397AE3">
      <w:pPr>
        <w:widowControl/>
        <w:spacing w:line="360" w:lineRule="auto"/>
        <w:jc w:val="left"/>
        <w:rPr>
          <w:rFonts w:hint="eastAsia" w:ascii="宋体" w:hAnsi="宋体"/>
          <w:bCs/>
          <w:sz w:val="24"/>
        </w:rPr>
      </w:pPr>
      <w:r>
        <w:rPr>
          <w:rFonts w:hint="eastAsia" w:ascii="宋体" w:hAnsi="宋体"/>
          <w:bCs/>
          <w:sz w:val="24"/>
        </w:rPr>
        <w:t>6）温度适用范围：-40至70℃内长期稳定运行</w:t>
      </w:r>
    </w:p>
    <w:p w14:paraId="66B27F6A">
      <w:pPr>
        <w:widowControl/>
        <w:spacing w:line="360" w:lineRule="auto"/>
        <w:jc w:val="left"/>
        <w:rPr>
          <w:rFonts w:hint="eastAsia" w:ascii="宋体" w:hAnsi="宋体"/>
          <w:bCs/>
          <w:sz w:val="24"/>
        </w:rPr>
      </w:pPr>
      <w:r>
        <w:rPr>
          <w:rFonts w:hint="eastAsia" w:ascii="宋体" w:hAnsi="宋体"/>
          <w:bCs/>
          <w:sz w:val="24"/>
        </w:rPr>
        <w:t>4.2.5其他要求:</w:t>
      </w:r>
    </w:p>
    <w:p w14:paraId="2A337EC9">
      <w:pPr>
        <w:widowControl/>
        <w:spacing w:line="360" w:lineRule="auto"/>
        <w:jc w:val="left"/>
        <w:rPr>
          <w:rFonts w:hint="eastAsia" w:ascii="宋体" w:hAnsi="宋体"/>
          <w:bCs/>
          <w:sz w:val="24"/>
        </w:rPr>
      </w:pPr>
      <w:r>
        <w:rPr>
          <w:rFonts w:hint="eastAsia" w:ascii="宋体" w:hAnsi="宋体"/>
          <w:bCs/>
          <w:sz w:val="24"/>
        </w:rPr>
        <w:t>1）改造施工不得影响原设备功能，新增设备不得妨碍原设备正常运维；</w:t>
      </w:r>
    </w:p>
    <w:p w14:paraId="04F3F73C">
      <w:pPr>
        <w:widowControl/>
        <w:spacing w:line="360" w:lineRule="auto"/>
        <w:jc w:val="left"/>
        <w:rPr>
          <w:rFonts w:hint="eastAsia" w:ascii="宋体" w:hAnsi="宋体"/>
          <w:bCs/>
          <w:sz w:val="24"/>
        </w:rPr>
      </w:pPr>
      <w:r>
        <w:rPr>
          <w:rFonts w:hint="eastAsia" w:ascii="宋体" w:hAnsi="宋体"/>
          <w:bCs/>
          <w:sz w:val="24"/>
        </w:rPr>
        <w:t>2）设备应具备就地显示功能，以便于日常巡检查看；并</w:t>
      </w:r>
      <w:r>
        <w:rPr>
          <w:rFonts w:ascii="宋体" w:hAnsi="宋体"/>
          <w:bCs/>
          <w:sz w:val="24"/>
        </w:rPr>
        <w:t>具备抗电网波动、长寿命等特点。</w:t>
      </w:r>
    </w:p>
    <w:p w14:paraId="4D5B1734">
      <w:pPr>
        <w:widowControl/>
        <w:spacing w:line="360" w:lineRule="auto"/>
        <w:jc w:val="left"/>
        <w:rPr>
          <w:rFonts w:hint="eastAsia" w:ascii="宋体" w:hAnsi="宋体"/>
          <w:bCs/>
          <w:sz w:val="24"/>
        </w:rPr>
      </w:pPr>
      <w:r>
        <w:rPr>
          <w:rFonts w:hint="eastAsia" w:ascii="宋体" w:hAnsi="宋体"/>
          <w:bCs/>
          <w:sz w:val="24"/>
        </w:rPr>
        <w:t>3）局放监测设备监测范围应覆盖柜内进/出带电电缆头、母排、柜内所有一次元件局放状态；</w:t>
      </w:r>
    </w:p>
    <w:p w14:paraId="53762DBB">
      <w:pPr>
        <w:widowControl/>
        <w:spacing w:line="360" w:lineRule="auto"/>
        <w:jc w:val="left"/>
        <w:rPr>
          <w:rFonts w:hint="eastAsia" w:ascii="宋体" w:hAnsi="宋体"/>
          <w:bCs/>
          <w:sz w:val="24"/>
        </w:rPr>
      </w:pPr>
      <w:r>
        <w:rPr>
          <w:rFonts w:hint="eastAsia" w:ascii="宋体" w:hAnsi="宋体"/>
          <w:bCs/>
          <w:sz w:val="24"/>
        </w:rPr>
        <w:t>4）装置应能对柜内A、B、C各相的局放状态独立监测，并将每相的局放监测数据按相别分别显示，以便准确判断柜内局放状态；</w:t>
      </w:r>
    </w:p>
    <w:p w14:paraId="22ABBC45">
      <w:pPr>
        <w:widowControl/>
        <w:spacing w:line="360" w:lineRule="auto"/>
        <w:jc w:val="left"/>
        <w:rPr>
          <w:rFonts w:hint="eastAsia" w:ascii="宋体" w:hAnsi="宋体"/>
          <w:bCs/>
          <w:sz w:val="24"/>
        </w:rPr>
      </w:pPr>
      <w:r>
        <w:rPr>
          <w:rFonts w:hint="eastAsia" w:ascii="宋体" w:hAnsi="宋体"/>
          <w:bCs/>
          <w:sz w:val="24"/>
        </w:rPr>
        <w:t>5）刷新周期不超过5分钟，即至少每5分钟监测数据被记录到内部存储单元，每1小时传输给远端设备或系统一次，有故障时立即上传;</w:t>
      </w:r>
    </w:p>
    <w:p w14:paraId="6B22C38A">
      <w:pPr>
        <w:widowControl/>
        <w:spacing w:line="360" w:lineRule="auto"/>
        <w:jc w:val="left"/>
        <w:rPr>
          <w:rFonts w:hint="eastAsia" w:ascii="宋体" w:hAnsi="宋体"/>
          <w:bCs/>
          <w:sz w:val="24"/>
        </w:rPr>
      </w:pPr>
      <w:r>
        <w:rPr>
          <w:rFonts w:hint="eastAsia" w:ascii="宋体" w:hAnsi="宋体"/>
          <w:bCs/>
          <w:sz w:val="24"/>
        </w:rPr>
        <w:t>6)数据记录:至少应包括全部的监测参数，也可以包括部分事件触发的其它类参数；</w:t>
      </w:r>
    </w:p>
    <w:p w14:paraId="307C77D0">
      <w:pPr>
        <w:widowControl/>
        <w:spacing w:line="360" w:lineRule="auto"/>
        <w:jc w:val="left"/>
        <w:rPr>
          <w:rFonts w:hint="eastAsia" w:ascii="宋体" w:hAnsi="宋体"/>
          <w:bCs/>
          <w:sz w:val="24"/>
        </w:rPr>
      </w:pPr>
      <w:r>
        <w:rPr>
          <w:rFonts w:hint="eastAsia" w:ascii="宋体" w:hAnsi="宋体"/>
          <w:bCs/>
          <w:sz w:val="24"/>
        </w:rPr>
        <w:t>7)图谱诊断:能够通过专用软件读取监测装置的PRPD 幅值相位相关性图谱，图谱刷新频率不低于每秒一次，相位分辨率不低于3.6°；</w:t>
      </w:r>
    </w:p>
    <w:p w14:paraId="2C2CF8C5">
      <w:pPr>
        <w:widowControl/>
        <w:spacing w:line="360" w:lineRule="auto"/>
        <w:jc w:val="left"/>
        <w:rPr>
          <w:rFonts w:hint="eastAsia" w:ascii="宋体" w:hAnsi="宋体"/>
          <w:bCs/>
          <w:sz w:val="24"/>
        </w:rPr>
      </w:pPr>
      <w:r>
        <w:rPr>
          <w:rFonts w:hint="eastAsia" w:ascii="宋体" w:hAnsi="宋体"/>
          <w:bCs/>
          <w:sz w:val="24"/>
        </w:rPr>
        <w:t>8)校准功能:需在外部系统电气接线基本确定的情况下进行，以最大限度地保证校准系数对电网运行条件的适应性，优先推荐在带电运行条件下执行局部放电监测的校准功能；</w:t>
      </w:r>
    </w:p>
    <w:p w14:paraId="4EF34CF1">
      <w:pPr>
        <w:widowControl/>
        <w:spacing w:line="360" w:lineRule="auto"/>
        <w:jc w:val="left"/>
        <w:rPr>
          <w:rFonts w:hint="eastAsia" w:ascii="宋体" w:hAnsi="宋体"/>
          <w:bCs/>
          <w:sz w:val="24"/>
        </w:rPr>
      </w:pPr>
      <w:r>
        <w:rPr>
          <w:rFonts w:hint="eastAsia" w:ascii="宋体" w:hAnsi="宋体"/>
          <w:bCs/>
          <w:sz w:val="24"/>
        </w:rPr>
        <w:t>9)存储功能:局部放电监测数据应同时县备就地连续存储和远程传输功能。就地连续存储的最短时长应不少于1年。</w:t>
      </w:r>
    </w:p>
    <w:p w14:paraId="1E9A0BA7">
      <w:pPr>
        <w:widowControl/>
        <w:spacing w:line="360" w:lineRule="auto"/>
        <w:jc w:val="left"/>
        <w:rPr>
          <w:rFonts w:hint="eastAsia" w:ascii="宋体" w:hAnsi="宋体"/>
          <w:bCs/>
          <w:sz w:val="24"/>
        </w:rPr>
      </w:pPr>
      <w:r>
        <w:rPr>
          <w:rFonts w:hint="eastAsia" w:ascii="宋体" w:hAnsi="宋体"/>
          <w:bCs/>
          <w:sz w:val="24"/>
        </w:rPr>
        <w:t>10)有效性验证:投标产品型号应能够通过招标方自行组织或者指定第三方设计的局部放电高压物理模拟试验，试验模型应至少包括内部缺陷、沿面放电、悬浮电位和内部缺陷等典型绝缘缺陷类型；</w:t>
      </w:r>
    </w:p>
    <w:p w14:paraId="5D1073EA">
      <w:pPr>
        <w:widowControl/>
        <w:spacing w:line="360" w:lineRule="auto"/>
        <w:jc w:val="left"/>
        <w:rPr>
          <w:rFonts w:hint="eastAsia" w:ascii="宋体" w:hAnsi="宋体"/>
          <w:bCs/>
          <w:sz w:val="24"/>
        </w:rPr>
      </w:pPr>
      <w:r>
        <w:rPr>
          <w:rFonts w:hint="eastAsia" w:ascii="宋体" w:hAnsi="宋体"/>
          <w:bCs/>
          <w:sz w:val="24"/>
        </w:rPr>
        <w:t>11)完备性验证:投标产品型号应能够通过招标方自行组织或者指定第三方设计的局部放电高压物理模拟试验，试验场景应能包括典型开关柜型号置于不同间隔的不同放电模型，监测结果不能出现明显的差异性。</w:t>
      </w:r>
    </w:p>
    <w:p w14:paraId="473BD6A4">
      <w:pPr>
        <w:pStyle w:val="10"/>
        <w:widowControl/>
        <w:spacing w:beforeAutospacing="0" w:afterAutospacing="0" w:line="360" w:lineRule="auto"/>
        <w:rPr>
          <w:rFonts w:hint="eastAsia" w:ascii="宋体" w:hAnsi="宋体"/>
          <w:bCs/>
          <w:color w:val="FF0000"/>
          <w:kern w:val="2"/>
          <w:highlight w:val="none"/>
        </w:rPr>
      </w:pPr>
      <w:r>
        <w:rPr>
          <w:rFonts w:hint="eastAsia" w:ascii="宋体" w:hAnsi="宋体"/>
          <w:bCs/>
          <w:color w:val="FF0000"/>
          <w:kern w:val="2"/>
          <w:highlight w:val="none"/>
        </w:rPr>
        <w:t>12）检验报告认证机构要求: 提供以投标人为主体的同时含 CNAS、ILAC-MRA及 CMA 三种认证标识的局放监测型式试验报告。检验报告认证机构要求:中国电力科学研究院有限公司电力工业电气设备质量检验测试中心(武高所)、国网电力科学研究院有限公司实验验证中心、中国电力科学研究院有限公司或其他含</w:t>
      </w:r>
      <w:bookmarkStart w:id="5" w:name="_Hlk205552911"/>
      <w:r>
        <w:rPr>
          <w:rFonts w:hint="eastAsia" w:ascii="宋体" w:hAnsi="宋体"/>
          <w:bCs/>
          <w:color w:val="FF0000"/>
          <w:kern w:val="2"/>
          <w:highlight w:val="none"/>
        </w:rPr>
        <w:t>有国家中心资质的权威检测机构</w:t>
      </w:r>
      <w:bookmarkEnd w:id="5"/>
      <w:r>
        <w:rPr>
          <w:rFonts w:hint="eastAsia" w:ascii="宋体" w:hAnsi="宋体"/>
          <w:bCs/>
          <w:color w:val="FF0000"/>
          <w:kern w:val="2"/>
          <w:highlight w:val="none"/>
        </w:rPr>
        <w:t>。报告中需包含射频电磁场辐射和脉冲磁场试验，试验结果需符合要求。</w:t>
      </w:r>
    </w:p>
    <w:p w14:paraId="7BD210E1">
      <w:pPr>
        <w:pStyle w:val="10"/>
        <w:widowControl/>
        <w:spacing w:beforeAutospacing="0" w:afterAutospacing="0" w:line="360" w:lineRule="auto"/>
        <w:rPr>
          <w:rFonts w:hint="eastAsia" w:ascii="宋体" w:hAnsi="宋体"/>
          <w:bCs/>
          <w:kern w:val="2"/>
        </w:rPr>
      </w:pPr>
      <w:r>
        <w:rPr>
          <w:rFonts w:hint="eastAsia" w:ascii="宋体" w:hAnsi="宋体"/>
          <w:bCs/>
          <w:kern w:val="2"/>
        </w:rPr>
        <w:t>13）</w:t>
      </w:r>
      <w:bookmarkStart w:id="6" w:name="_Toc15677"/>
      <w:r>
        <w:rPr>
          <w:rFonts w:hint="eastAsia" w:ascii="宋体" w:hAnsi="宋体"/>
          <w:bCs/>
          <w:kern w:val="2"/>
        </w:rPr>
        <w:t>电磁兼容</w:t>
      </w:r>
      <w:bookmarkEnd w:id="6"/>
    </w:p>
    <w:p w14:paraId="3F483234">
      <w:pPr>
        <w:widowControl/>
        <w:spacing w:line="360" w:lineRule="auto"/>
        <w:ind w:firstLine="480" w:firstLineChars="200"/>
        <w:jc w:val="left"/>
        <w:rPr>
          <w:rFonts w:hint="eastAsia" w:ascii="宋体" w:hAnsi="宋体" w:cs="Arial"/>
          <w:sz w:val="24"/>
        </w:rPr>
      </w:pPr>
      <w:bookmarkStart w:id="7" w:name="_Toc10213"/>
      <w:r>
        <w:rPr>
          <w:rFonts w:hint="eastAsia" w:ascii="宋体" w:hAnsi="宋体" w:cs="Arial"/>
          <w:sz w:val="24"/>
        </w:rPr>
        <w:t>静电放电抗扰度、辐射电磁场抗扰度、工频磁场抗扰度、脉冲磁场抗扰度、阻尼振荡磁场抗扰度试验等试验应按规程规定方法进行，且满足下表要求。</w:t>
      </w:r>
      <w:bookmarkEnd w:id="7"/>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2"/>
        <w:gridCol w:w="568"/>
        <w:gridCol w:w="2269"/>
        <w:gridCol w:w="2512"/>
        <w:gridCol w:w="1081"/>
      </w:tblGrid>
      <w:tr w14:paraId="1608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7" w:type="pct"/>
            <w:vAlign w:val="center"/>
          </w:tcPr>
          <w:p w14:paraId="005C1419">
            <w:pPr>
              <w:jc w:val="center"/>
              <w:rPr>
                <w:rFonts w:hint="eastAsia" w:cs="方正仿宋_GBK" w:asciiTheme="minorEastAsia" w:hAnsiTheme="minorEastAsia" w:eastAsiaTheme="minorEastAsia"/>
                <w:bCs/>
                <w:sz w:val="16"/>
                <w:szCs w:val="16"/>
              </w:rPr>
            </w:pPr>
            <w:bookmarkStart w:id="8" w:name="_Toc3207"/>
            <w:bookmarkStart w:id="9" w:name="_Toc419"/>
            <w:bookmarkStart w:id="10" w:name="_Toc20987"/>
            <w:bookmarkStart w:id="11" w:name="_Toc14886"/>
            <w:r>
              <w:rPr>
                <w:rFonts w:hint="eastAsia" w:cs="方正仿宋_GBK" w:asciiTheme="minorEastAsia" w:hAnsiTheme="minorEastAsia" w:eastAsiaTheme="minorEastAsia"/>
                <w:bCs/>
                <w:sz w:val="16"/>
                <w:szCs w:val="16"/>
              </w:rPr>
              <w:t>项目</w:t>
            </w:r>
            <w:bookmarkEnd w:id="8"/>
            <w:bookmarkEnd w:id="9"/>
            <w:bookmarkEnd w:id="10"/>
            <w:bookmarkEnd w:id="11"/>
          </w:p>
        </w:tc>
        <w:tc>
          <w:tcPr>
            <w:tcW w:w="333" w:type="pct"/>
            <w:vAlign w:val="center"/>
          </w:tcPr>
          <w:p w14:paraId="55308340">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性能判据</w:t>
            </w:r>
          </w:p>
        </w:tc>
        <w:tc>
          <w:tcPr>
            <w:tcW w:w="1331" w:type="pct"/>
            <w:vAlign w:val="center"/>
          </w:tcPr>
          <w:p w14:paraId="32AE466E">
            <w:pPr>
              <w:jc w:val="center"/>
              <w:rPr>
                <w:rFonts w:hint="eastAsia" w:cs="方正仿宋_GBK" w:asciiTheme="minorEastAsia" w:hAnsiTheme="minorEastAsia" w:eastAsiaTheme="minorEastAsia"/>
                <w:bCs/>
                <w:sz w:val="16"/>
                <w:szCs w:val="16"/>
              </w:rPr>
            </w:pPr>
            <w:bookmarkStart w:id="12" w:name="_Toc25277"/>
            <w:bookmarkStart w:id="13" w:name="_Toc32299"/>
            <w:bookmarkStart w:id="14" w:name="_Toc9456"/>
            <w:bookmarkStart w:id="15" w:name="_Toc25122"/>
            <w:r>
              <w:rPr>
                <w:rFonts w:hint="eastAsia" w:cs="方正仿宋_GBK" w:asciiTheme="minorEastAsia" w:hAnsiTheme="minorEastAsia" w:eastAsiaTheme="minorEastAsia"/>
                <w:bCs/>
                <w:sz w:val="16"/>
                <w:szCs w:val="16"/>
              </w:rPr>
              <w:t>试验值</w:t>
            </w:r>
            <w:bookmarkEnd w:id="12"/>
            <w:bookmarkEnd w:id="13"/>
            <w:bookmarkEnd w:id="14"/>
            <w:bookmarkEnd w:id="15"/>
          </w:p>
        </w:tc>
        <w:tc>
          <w:tcPr>
            <w:tcW w:w="1474" w:type="pct"/>
            <w:vAlign w:val="center"/>
          </w:tcPr>
          <w:p w14:paraId="50F5A4F0">
            <w:pPr>
              <w:jc w:val="center"/>
              <w:rPr>
                <w:rFonts w:hint="eastAsia" w:cs="方正仿宋_GBK" w:asciiTheme="minorEastAsia" w:hAnsiTheme="minorEastAsia" w:eastAsiaTheme="minorEastAsia"/>
                <w:bCs/>
                <w:sz w:val="16"/>
                <w:szCs w:val="16"/>
              </w:rPr>
            </w:pPr>
            <w:bookmarkStart w:id="16" w:name="_Toc3083"/>
            <w:bookmarkStart w:id="17" w:name="_Toc10716"/>
            <w:bookmarkStart w:id="18" w:name="_Toc31816"/>
            <w:bookmarkStart w:id="19" w:name="_Toc21710"/>
            <w:r>
              <w:rPr>
                <w:rFonts w:hint="eastAsia" w:cs="方正仿宋_GBK" w:asciiTheme="minorEastAsia" w:hAnsiTheme="minorEastAsia" w:eastAsiaTheme="minorEastAsia"/>
                <w:bCs/>
                <w:sz w:val="16"/>
                <w:szCs w:val="16"/>
              </w:rPr>
              <w:t>试验回路</w:t>
            </w:r>
            <w:bookmarkEnd w:id="16"/>
            <w:bookmarkEnd w:id="17"/>
            <w:bookmarkEnd w:id="18"/>
            <w:bookmarkEnd w:id="19"/>
          </w:p>
        </w:tc>
        <w:tc>
          <w:tcPr>
            <w:tcW w:w="634" w:type="pct"/>
            <w:vAlign w:val="center"/>
          </w:tcPr>
          <w:p w14:paraId="0C5685AA">
            <w:pPr>
              <w:jc w:val="center"/>
              <w:rPr>
                <w:rFonts w:hint="eastAsia" w:cs="方正仿宋_GBK" w:asciiTheme="minorEastAsia" w:hAnsiTheme="minorEastAsia" w:eastAsiaTheme="minorEastAsia"/>
                <w:bCs/>
                <w:sz w:val="16"/>
                <w:szCs w:val="16"/>
              </w:rPr>
            </w:pPr>
            <w:bookmarkStart w:id="20" w:name="_Toc8669"/>
            <w:bookmarkStart w:id="21" w:name="_Toc9779"/>
            <w:bookmarkStart w:id="22" w:name="_Toc9108"/>
            <w:bookmarkStart w:id="23" w:name="_Toc21223"/>
            <w:r>
              <w:rPr>
                <w:rFonts w:hint="eastAsia" w:cs="方正仿宋_GBK" w:asciiTheme="minorEastAsia" w:hAnsiTheme="minorEastAsia" w:eastAsiaTheme="minorEastAsia"/>
                <w:bCs/>
                <w:sz w:val="16"/>
                <w:szCs w:val="16"/>
              </w:rPr>
              <w:t>要求</w:t>
            </w:r>
            <w:bookmarkEnd w:id="20"/>
            <w:bookmarkEnd w:id="21"/>
            <w:bookmarkEnd w:id="22"/>
            <w:bookmarkEnd w:id="23"/>
          </w:p>
        </w:tc>
      </w:tr>
      <w:tr w14:paraId="5033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7" w:type="pct"/>
            <w:vAlign w:val="center"/>
          </w:tcPr>
          <w:p w14:paraId="417FFC38">
            <w:pPr>
              <w:jc w:val="center"/>
              <w:rPr>
                <w:rFonts w:hint="eastAsia" w:cs="方正仿宋_GBK" w:asciiTheme="minorEastAsia" w:hAnsiTheme="minorEastAsia" w:eastAsiaTheme="minorEastAsia"/>
                <w:bCs/>
                <w:sz w:val="16"/>
                <w:szCs w:val="16"/>
              </w:rPr>
            </w:pPr>
            <w:bookmarkStart w:id="24" w:name="_Toc30582"/>
            <w:bookmarkStart w:id="25" w:name="_Toc26769"/>
            <w:bookmarkStart w:id="26" w:name="_Toc24937"/>
            <w:bookmarkStart w:id="27" w:name="_Toc28902"/>
            <w:r>
              <w:rPr>
                <w:rFonts w:hint="eastAsia" w:cs="方正仿宋_GBK" w:asciiTheme="minorEastAsia" w:hAnsiTheme="minorEastAsia" w:eastAsiaTheme="minorEastAsia"/>
                <w:bCs/>
                <w:sz w:val="16"/>
                <w:szCs w:val="16"/>
              </w:rPr>
              <w:t>静电放电抗扰度试验</w:t>
            </w:r>
            <w:bookmarkEnd w:id="24"/>
            <w:bookmarkEnd w:id="25"/>
            <w:bookmarkEnd w:id="26"/>
            <w:bookmarkEnd w:id="27"/>
          </w:p>
        </w:tc>
        <w:tc>
          <w:tcPr>
            <w:tcW w:w="333" w:type="pct"/>
            <w:vAlign w:val="center"/>
          </w:tcPr>
          <w:p w14:paraId="74C90AB7">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B类</w:t>
            </w:r>
          </w:p>
        </w:tc>
        <w:tc>
          <w:tcPr>
            <w:tcW w:w="1331" w:type="pct"/>
            <w:vAlign w:val="center"/>
          </w:tcPr>
          <w:p w14:paraId="0A47A71A">
            <w:pPr>
              <w:jc w:val="center"/>
              <w:rPr>
                <w:rFonts w:hint="eastAsia" w:cs="方正仿宋_GBK" w:asciiTheme="minorEastAsia" w:hAnsiTheme="minorEastAsia" w:eastAsiaTheme="minorEastAsia"/>
                <w:bCs/>
                <w:sz w:val="16"/>
                <w:szCs w:val="16"/>
              </w:rPr>
            </w:pPr>
            <w:bookmarkStart w:id="28" w:name="_Toc23405"/>
            <w:bookmarkStart w:id="29" w:name="_Toc31926"/>
            <w:bookmarkStart w:id="30" w:name="_Toc26775"/>
            <w:bookmarkStart w:id="31" w:name="_Toc31541"/>
            <w:r>
              <w:rPr>
                <w:rFonts w:hint="eastAsia" w:cs="方正仿宋_GBK" w:asciiTheme="minorEastAsia" w:hAnsiTheme="minorEastAsia" w:eastAsiaTheme="minorEastAsia"/>
                <w:bCs/>
                <w:sz w:val="16"/>
                <w:szCs w:val="16"/>
              </w:rPr>
              <w:t>35kV，接触放电；</w:t>
            </w:r>
          </w:p>
          <w:p w14:paraId="2493EA0B">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35kV，空气放电</w:t>
            </w:r>
            <w:bookmarkEnd w:id="28"/>
            <w:bookmarkEnd w:id="29"/>
            <w:bookmarkEnd w:id="30"/>
            <w:bookmarkEnd w:id="31"/>
            <w:r>
              <w:rPr>
                <w:rFonts w:hint="eastAsia" w:cs="方正仿宋_GBK" w:asciiTheme="minorEastAsia" w:hAnsiTheme="minorEastAsia" w:eastAsiaTheme="minorEastAsia"/>
                <w:bCs/>
                <w:sz w:val="16"/>
                <w:szCs w:val="16"/>
              </w:rPr>
              <w:t>；</w:t>
            </w:r>
          </w:p>
        </w:tc>
        <w:tc>
          <w:tcPr>
            <w:tcW w:w="1474" w:type="pct"/>
            <w:vAlign w:val="center"/>
          </w:tcPr>
          <w:p w14:paraId="6085130F">
            <w:pPr>
              <w:jc w:val="center"/>
              <w:rPr>
                <w:rFonts w:hint="eastAsia" w:cs="方正仿宋_GBK" w:asciiTheme="minorEastAsia" w:hAnsiTheme="minorEastAsia" w:eastAsiaTheme="minorEastAsia"/>
                <w:bCs/>
                <w:sz w:val="16"/>
                <w:szCs w:val="16"/>
              </w:rPr>
            </w:pPr>
            <w:bookmarkStart w:id="32" w:name="_Toc24866"/>
            <w:bookmarkStart w:id="33" w:name="_Toc17174"/>
            <w:bookmarkStart w:id="34" w:name="_Toc22841"/>
            <w:bookmarkStart w:id="35" w:name="_Toc20642"/>
            <w:r>
              <w:rPr>
                <w:rFonts w:hint="eastAsia" w:cs="方正仿宋_GBK" w:asciiTheme="minorEastAsia" w:hAnsiTheme="minorEastAsia" w:eastAsiaTheme="minorEastAsia"/>
                <w:bCs/>
                <w:sz w:val="16"/>
                <w:szCs w:val="16"/>
              </w:rPr>
              <w:t>外壳，RS485通信接口</w:t>
            </w:r>
            <w:bookmarkEnd w:id="32"/>
            <w:bookmarkEnd w:id="33"/>
            <w:bookmarkEnd w:id="34"/>
            <w:bookmarkEnd w:id="35"/>
          </w:p>
        </w:tc>
        <w:tc>
          <w:tcPr>
            <w:tcW w:w="634" w:type="pct"/>
            <w:vMerge w:val="restart"/>
            <w:vAlign w:val="center"/>
          </w:tcPr>
          <w:p w14:paraId="589B7659">
            <w:pPr>
              <w:jc w:val="left"/>
              <w:rPr>
                <w:rFonts w:hint="eastAsia" w:cs="方正仿宋_GBK" w:asciiTheme="minorEastAsia" w:hAnsiTheme="minorEastAsia" w:eastAsiaTheme="minorEastAsia"/>
                <w:bCs/>
                <w:sz w:val="16"/>
                <w:szCs w:val="16"/>
              </w:rPr>
            </w:pPr>
            <w:bookmarkStart w:id="36" w:name="_Toc4800"/>
            <w:bookmarkStart w:id="37" w:name="_Toc26104"/>
            <w:bookmarkStart w:id="38" w:name="_Toc12674"/>
            <w:bookmarkStart w:id="39" w:name="_Toc32100"/>
            <w:r>
              <w:rPr>
                <w:rFonts w:hint="eastAsia" w:cs="方正仿宋_GBK" w:asciiTheme="minorEastAsia" w:hAnsiTheme="minorEastAsia" w:eastAsiaTheme="minorEastAsia"/>
                <w:bCs/>
                <w:sz w:val="16"/>
                <w:szCs w:val="16"/>
              </w:rPr>
              <w:t>试验期间监测功能、通讯功能正常、装置数据准确、无突变、工作正常</w:t>
            </w:r>
            <w:bookmarkEnd w:id="36"/>
            <w:bookmarkEnd w:id="37"/>
            <w:bookmarkEnd w:id="38"/>
            <w:bookmarkEnd w:id="39"/>
            <w:r>
              <w:rPr>
                <w:rFonts w:hint="eastAsia" w:cs="方正仿宋_GBK" w:asciiTheme="minorEastAsia" w:hAnsiTheme="minorEastAsia" w:eastAsiaTheme="minorEastAsia"/>
                <w:bCs/>
                <w:sz w:val="16"/>
                <w:szCs w:val="16"/>
              </w:rPr>
              <w:t>。</w:t>
            </w:r>
          </w:p>
        </w:tc>
      </w:tr>
      <w:tr w14:paraId="1C2D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7" w:type="pct"/>
            <w:vAlign w:val="center"/>
          </w:tcPr>
          <w:p w14:paraId="47DFD29D">
            <w:pPr>
              <w:jc w:val="center"/>
              <w:rPr>
                <w:rFonts w:hint="eastAsia" w:cs="方正仿宋_GBK" w:asciiTheme="minorEastAsia" w:hAnsiTheme="minorEastAsia" w:eastAsiaTheme="minorEastAsia"/>
                <w:bCs/>
                <w:sz w:val="16"/>
                <w:szCs w:val="16"/>
              </w:rPr>
            </w:pPr>
            <w:bookmarkStart w:id="40" w:name="_Toc25151"/>
            <w:bookmarkStart w:id="41" w:name="_Toc26887"/>
            <w:bookmarkStart w:id="42" w:name="_Toc17816"/>
            <w:bookmarkStart w:id="43" w:name="_Toc5501"/>
            <w:r>
              <w:rPr>
                <w:rFonts w:hint="eastAsia" w:cs="方正仿宋_GBK" w:asciiTheme="minorEastAsia" w:hAnsiTheme="minorEastAsia" w:eastAsiaTheme="minorEastAsia"/>
                <w:bCs/>
                <w:sz w:val="16"/>
                <w:szCs w:val="16"/>
              </w:rPr>
              <w:t>辐射电磁场抗扰度试验</w:t>
            </w:r>
            <w:bookmarkEnd w:id="40"/>
            <w:bookmarkEnd w:id="41"/>
            <w:bookmarkEnd w:id="42"/>
            <w:bookmarkEnd w:id="43"/>
          </w:p>
        </w:tc>
        <w:tc>
          <w:tcPr>
            <w:tcW w:w="333" w:type="pct"/>
            <w:vAlign w:val="center"/>
          </w:tcPr>
          <w:p w14:paraId="4594C5B7">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B类</w:t>
            </w:r>
          </w:p>
        </w:tc>
        <w:tc>
          <w:tcPr>
            <w:tcW w:w="1331" w:type="pct"/>
            <w:vAlign w:val="center"/>
          </w:tcPr>
          <w:p w14:paraId="2FB16649">
            <w:pPr>
              <w:jc w:val="center"/>
              <w:rPr>
                <w:rFonts w:hint="eastAsia" w:cs="方正仿宋_GBK" w:asciiTheme="minorEastAsia" w:hAnsiTheme="minorEastAsia" w:eastAsiaTheme="minorEastAsia"/>
                <w:bCs/>
                <w:sz w:val="16"/>
                <w:szCs w:val="16"/>
              </w:rPr>
            </w:pPr>
            <w:bookmarkStart w:id="44" w:name="_Toc18194"/>
            <w:bookmarkStart w:id="45" w:name="_Toc27700"/>
            <w:bookmarkStart w:id="46" w:name="_Toc28511"/>
            <w:bookmarkStart w:id="47" w:name="_Toc13478"/>
            <w:r>
              <w:rPr>
                <w:rFonts w:hint="eastAsia" w:cs="方正仿宋_GBK" w:asciiTheme="minorEastAsia" w:hAnsiTheme="minorEastAsia" w:eastAsiaTheme="minorEastAsia"/>
                <w:bCs/>
                <w:sz w:val="16"/>
                <w:szCs w:val="16"/>
              </w:rPr>
              <w:t>场强10V/m</w:t>
            </w:r>
          </w:p>
          <w:p w14:paraId="5BBBF2C5">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(1400MHz～2700MHz)</w:t>
            </w:r>
            <w:bookmarkEnd w:id="44"/>
            <w:bookmarkEnd w:id="45"/>
            <w:bookmarkEnd w:id="46"/>
            <w:bookmarkEnd w:id="47"/>
          </w:p>
        </w:tc>
        <w:tc>
          <w:tcPr>
            <w:tcW w:w="1474" w:type="pct"/>
            <w:vAlign w:val="center"/>
          </w:tcPr>
          <w:p w14:paraId="1B2FD2EF">
            <w:pPr>
              <w:jc w:val="center"/>
              <w:rPr>
                <w:rFonts w:hint="eastAsia" w:cs="方正仿宋_GBK" w:asciiTheme="minorEastAsia" w:hAnsiTheme="minorEastAsia" w:eastAsiaTheme="minorEastAsia"/>
                <w:bCs/>
                <w:sz w:val="16"/>
                <w:szCs w:val="16"/>
              </w:rPr>
            </w:pPr>
            <w:bookmarkStart w:id="48" w:name="_Toc8009"/>
            <w:bookmarkStart w:id="49" w:name="_Toc28962"/>
            <w:bookmarkStart w:id="50" w:name="_Toc16931"/>
            <w:bookmarkStart w:id="51" w:name="_Toc3975"/>
            <w:r>
              <w:rPr>
                <w:rFonts w:hint="eastAsia" w:cs="方正仿宋_GBK" w:asciiTheme="minorEastAsia" w:hAnsiTheme="minorEastAsia" w:eastAsiaTheme="minorEastAsia"/>
                <w:bCs/>
                <w:sz w:val="16"/>
                <w:szCs w:val="16"/>
              </w:rPr>
              <w:t>整机</w:t>
            </w:r>
            <w:bookmarkEnd w:id="48"/>
            <w:bookmarkEnd w:id="49"/>
            <w:bookmarkEnd w:id="50"/>
            <w:bookmarkEnd w:id="51"/>
          </w:p>
        </w:tc>
        <w:tc>
          <w:tcPr>
            <w:tcW w:w="634" w:type="pct"/>
            <w:vMerge w:val="continue"/>
            <w:vAlign w:val="center"/>
          </w:tcPr>
          <w:p w14:paraId="69B60BE5">
            <w:pPr>
              <w:jc w:val="left"/>
              <w:rPr>
                <w:rFonts w:hint="eastAsia" w:cs="方正仿宋_GBK" w:asciiTheme="minorEastAsia" w:hAnsiTheme="minorEastAsia" w:eastAsiaTheme="minorEastAsia"/>
                <w:bCs/>
                <w:sz w:val="16"/>
                <w:szCs w:val="16"/>
              </w:rPr>
            </w:pPr>
          </w:p>
        </w:tc>
      </w:tr>
      <w:tr w14:paraId="3338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227" w:type="pct"/>
            <w:vAlign w:val="center"/>
          </w:tcPr>
          <w:p w14:paraId="63336EBF">
            <w:pPr>
              <w:jc w:val="center"/>
              <w:rPr>
                <w:rFonts w:hint="eastAsia" w:cs="方正仿宋_GBK" w:asciiTheme="minorEastAsia" w:hAnsiTheme="minorEastAsia" w:eastAsiaTheme="minorEastAsia"/>
                <w:bCs/>
                <w:sz w:val="16"/>
                <w:szCs w:val="16"/>
              </w:rPr>
            </w:pPr>
            <w:bookmarkStart w:id="52" w:name="_Toc20451"/>
            <w:bookmarkStart w:id="53" w:name="_Toc26392"/>
            <w:bookmarkStart w:id="54" w:name="_Toc5207"/>
            <w:bookmarkStart w:id="55" w:name="_Toc28145"/>
            <w:r>
              <w:rPr>
                <w:rFonts w:hint="eastAsia" w:cs="方正仿宋_GBK" w:asciiTheme="minorEastAsia" w:hAnsiTheme="minorEastAsia" w:eastAsiaTheme="minorEastAsia"/>
                <w:bCs/>
                <w:sz w:val="16"/>
                <w:szCs w:val="16"/>
              </w:rPr>
              <w:t>脉冲磁场抗扰度试验</w:t>
            </w:r>
            <w:bookmarkEnd w:id="52"/>
            <w:bookmarkEnd w:id="53"/>
            <w:bookmarkEnd w:id="54"/>
            <w:bookmarkEnd w:id="55"/>
          </w:p>
        </w:tc>
        <w:tc>
          <w:tcPr>
            <w:tcW w:w="333" w:type="pct"/>
            <w:vAlign w:val="center"/>
          </w:tcPr>
          <w:p w14:paraId="4B88C19E">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B类</w:t>
            </w:r>
          </w:p>
        </w:tc>
        <w:tc>
          <w:tcPr>
            <w:tcW w:w="1331" w:type="pct"/>
            <w:vAlign w:val="center"/>
          </w:tcPr>
          <w:p w14:paraId="661EF79A">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1000A/m</w:t>
            </w:r>
          </w:p>
        </w:tc>
        <w:tc>
          <w:tcPr>
            <w:tcW w:w="1474" w:type="pct"/>
            <w:vAlign w:val="center"/>
          </w:tcPr>
          <w:p w14:paraId="2093833D">
            <w:pPr>
              <w:jc w:val="center"/>
              <w:rPr>
                <w:rFonts w:hint="eastAsia" w:cs="方正仿宋_GBK" w:asciiTheme="minorEastAsia" w:hAnsiTheme="minorEastAsia" w:eastAsiaTheme="minorEastAsia"/>
                <w:bCs/>
                <w:sz w:val="16"/>
                <w:szCs w:val="16"/>
              </w:rPr>
            </w:pPr>
            <w:bookmarkStart w:id="56" w:name="_Toc23615"/>
            <w:bookmarkStart w:id="57" w:name="_Toc32767"/>
            <w:bookmarkStart w:id="58" w:name="_Toc28315"/>
            <w:bookmarkStart w:id="59" w:name="_Toc30615"/>
            <w:r>
              <w:rPr>
                <w:rFonts w:hint="eastAsia" w:cs="方正仿宋_GBK" w:asciiTheme="minorEastAsia" w:hAnsiTheme="minorEastAsia" w:eastAsiaTheme="minorEastAsia"/>
                <w:bCs/>
                <w:sz w:val="16"/>
                <w:szCs w:val="16"/>
              </w:rPr>
              <w:t>RS485通信线</w:t>
            </w:r>
            <w:bookmarkEnd w:id="56"/>
            <w:bookmarkEnd w:id="57"/>
            <w:bookmarkEnd w:id="58"/>
            <w:bookmarkEnd w:id="59"/>
          </w:p>
          <w:p w14:paraId="3DA4C3B7">
            <w:pPr>
              <w:jc w:val="center"/>
              <w:rPr>
                <w:rFonts w:hint="eastAsia" w:cs="方正仿宋_GBK" w:asciiTheme="minorEastAsia" w:hAnsiTheme="minorEastAsia" w:eastAsiaTheme="minorEastAsia"/>
                <w:bCs/>
                <w:sz w:val="16"/>
                <w:szCs w:val="16"/>
              </w:rPr>
            </w:pPr>
            <w:bookmarkStart w:id="60" w:name="_Toc13081"/>
            <w:bookmarkStart w:id="61" w:name="_Toc13689"/>
            <w:bookmarkStart w:id="62" w:name="_Toc6271"/>
            <w:bookmarkStart w:id="63" w:name="_Toc6716"/>
            <w:r>
              <w:rPr>
                <w:rFonts w:hint="eastAsia" w:cs="方正仿宋_GBK" w:asciiTheme="minorEastAsia" w:hAnsiTheme="minorEastAsia" w:eastAsiaTheme="minorEastAsia"/>
                <w:bCs/>
                <w:sz w:val="16"/>
                <w:szCs w:val="16"/>
              </w:rPr>
              <w:t>电源回路、状态信号输入回路</w:t>
            </w:r>
            <w:bookmarkEnd w:id="60"/>
            <w:bookmarkEnd w:id="61"/>
            <w:bookmarkEnd w:id="62"/>
            <w:bookmarkEnd w:id="63"/>
          </w:p>
        </w:tc>
        <w:tc>
          <w:tcPr>
            <w:tcW w:w="634" w:type="pct"/>
            <w:vMerge w:val="continue"/>
            <w:vAlign w:val="center"/>
          </w:tcPr>
          <w:p w14:paraId="5543EEE1">
            <w:pPr>
              <w:jc w:val="left"/>
              <w:rPr>
                <w:rFonts w:hint="eastAsia" w:cs="方正仿宋_GBK" w:asciiTheme="minorEastAsia" w:hAnsiTheme="minorEastAsia" w:eastAsiaTheme="minorEastAsia"/>
                <w:bCs/>
                <w:sz w:val="16"/>
                <w:szCs w:val="16"/>
              </w:rPr>
            </w:pPr>
          </w:p>
        </w:tc>
      </w:tr>
      <w:tr w14:paraId="68AC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7" w:type="pct"/>
            <w:vAlign w:val="center"/>
          </w:tcPr>
          <w:p w14:paraId="1058D4B8">
            <w:pPr>
              <w:jc w:val="center"/>
              <w:rPr>
                <w:rFonts w:hint="eastAsia" w:cs="方正仿宋_GBK" w:asciiTheme="minorEastAsia" w:hAnsiTheme="minorEastAsia" w:eastAsiaTheme="minorEastAsia"/>
                <w:bCs/>
                <w:sz w:val="16"/>
                <w:szCs w:val="16"/>
              </w:rPr>
            </w:pPr>
            <w:bookmarkStart w:id="64" w:name="_Toc12086"/>
            <w:bookmarkStart w:id="65" w:name="_Toc12761"/>
            <w:bookmarkStart w:id="66" w:name="_Toc25992"/>
            <w:bookmarkStart w:id="67" w:name="_Toc1359"/>
            <w:r>
              <w:rPr>
                <w:rFonts w:hint="eastAsia" w:cs="方正仿宋_GBK" w:asciiTheme="minorEastAsia" w:hAnsiTheme="minorEastAsia" w:eastAsiaTheme="minorEastAsia"/>
                <w:bCs/>
                <w:sz w:val="16"/>
                <w:szCs w:val="16"/>
              </w:rPr>
              <w:t>阻尼振荡磁场抗扰度试验</w:t>
            </w:r>
            <w:bookmarkEnd w:id="64"/>
            <w:bookmarkEnd w:id="65"/>
            <w:bookmarkEnd w:id="66"/>
            <w:bookmarkEnd w:id="67"/>
          </w:p>
        </w:tc>
        <w:tc>
          <w:tcPr>
            <w:tcW w:w="333" w:type="pct"/>
            <w:vAlign w:val="center"/>
          </w:tcPr>
          <w:p w14:paraId="65595A1C">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A类</w:t>
            </w:r>
          </w:p>
        </w:tc>
        <w:tc>
          <w:tcPr>
            <w:tcW w:w="1331" w:type="pct"/>
            <w:vAlign w:val="center"/>
          </w:tcPr>
          <w:p w14:paraId="40B2C05C">
            <w:pPr>
              <w:jc w:val="center"/>
              <w:rPr>
                <w:rFonts w:hint="eastAsia" w:cs="方正仿宋_GBK" w:asciiTheme="minorEastAsia" w:hAnsiTheme="minorEastAsia" w:eastAsiaTheme="minorEastAsia"/>
                <w:bCs/>
                <w:sz w:val="16"/>
                <w:szCs w:val="16"/>
              </w:rPr>
            </w:pPr>
            <w:bookmarkStart w:id="68" w:name="_Toc19087"/>
            <w:bookmarkStart w:id="69" w:name="_Toc4369"/>
            <w:bookmarkStart w:id="70" w:name="_Toc21146"/>
            <w:bookmarkStart w:id="71" w:name="_Toc26160"/>
            <w:r>
              <w:rPr>
                <w:rFonts w:hint="eastAsia" w:cs="方正仿宋_GBK" w:asciiTheme="minorEastAsia" w:hAnsiTheme="minorEastAsia" w:eastAsiaTheme="minorEastAsia"/>
                <w:sz w:val="16"/>
                <w:szCs w:val="16"/>
              </w:rPr>
              <w:t>强度</w:t>
            </w:r>
            <w:r>
              <w:rPr>
                <w:rFonts w:hint="eastAsia" w:cs="方正仿宋_GBK" w:asciiTheme="minorEastAsia" w:hAnsiTheme="minorEastAsia" w:eastAsiaTheme="minorEastAsia"/>
                <w:bCs/>
                <w:sz w:val="16"/>
                <w:szCs w:val="16"/>
              </w:rPr>
              <w:t>100A/m</w:t>
            </w:r>
            <w:bookmarkEnd w:id="68"/>
            <w:bookmarkEnd w:id="69"/>
            <w:bookmarkEnd w:id="70"/>
            <w:bookmarkEnd w:id="71"/>
          </w:p>
          <w:p w14:paraId="7CD3CFB6">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振荡频率0.1～1MHz</w:t>
            </w:r>
          </w:p>
          <w:p w14:paraId="1BC58FA7">
            <w:pPr>
              <w:jc w:val="center"/>
              <w:rPr>
                <w:rFonts w:hint="eastAsia" w:cs="方正仿宋_GBK" w:asciiTheme="minorEastAsia" w:hAnsiTheme="minorEastAsia" w:eastAsiaTheme="minorEastAsia"/>
                <w:sz w:val="16"/>
                <w:szCs w:val="16"/>
              </w:rPr>
            </w:pPr>
            <w:r>
              <w:rPr>
                <w:rFonts w:hint="eastAsia" w:cs="方正仿宋_GBK" w:asciiTheme="minorEastAsia" w:hAnsiTheme="minorEastAsia" w:eastAsiaTheme="minorEastAsia"/>
                <w:bCs/>
                <w:sz w:val="16"/>
                <w:szCs w:val="16"/>
              </w:rPr>
              <w:t>重复频率40～400Hz</w:t>
            </w:r>
          </w:p>
        </w:tc>
        <w:tc>
          <w:tcPr>
            <w:tcW w:w="1474" w:type="pct"/>
            <w:vAlign w:val="center"/>
          </w:tcPr>
          <w:p w14:paraId="1EAE840A">
            <w:pPr>
              <w:jc w:val="center"/>
              <w:rPr>
                <w:rFonts w:hint="eastAsia" w:cs="方正仿宋_GBK" w:asciiTheme="minorEastAsia" w:hAnsiTheme="minorEastAsia" w:eastAsiaTheme="minorEastAsia"/>
                <w:bCs/>
                <w:sz w:val="16"/>
                <w:szCs w:val="16"/>
              </w:rPr>
            </w:pPr>
            <w:bookmarkStart w:id="72" w:name="_Toc14741"/>
            <w:bookmarkStart w:id="73" w:name="_Toc32080"/>
            <w:bookmarkStart w:id="74" w:name="_Toc30878"/>
            <w:bookmarkStart w:id="75" w:name="_Toc18835"/>
            <w:r>
              <w:rPr>
                <w:rFonts w:hint="eastAsia" w:cs="方正仿宋_GBK" w:asciiTheme="minorEastAsia" w:hAnsiTheme="minorEastAsia" w:eastAsiaTheme="minorEastAsia"/>
                <w:bCs/>
                <w:sz w:val="16"/>
                <w:szCs w:val="16"/>
              </w:rPr>
              <w:t>电源回路、状态信号输入回路</w:t>
            </w:r>
            <w:bookmarkEnd w:id="72"/>
            <w:bookmarkEnd w:id="73"/>
            <w:bookmarkEnd w:id="74"/>
            <w:bookmarkEnd w:id="75"/>
          </w:p>
        </w:tc>
        <w:tc>
          <w:tcPr>
            <w:tcW w:w="634" w:type="pct"/>
            <w:vMerge w:val="continue"/>
            <w:vAlign w:val="center"/>
          </w:tcPr>
          <w:p w14:paraId="1BD4D637">
            <w:pPr>
              <w:jc w:val="left"/>
              <w:rPr>
                <w:rFonts w:hint="eastAsia" w:cs="方正仿宋_GBK" w:asciiTheme="minorEastAsia" w:hAnsiTheme="minorEastAsia" w:eastAsiaTheme="minorEastAsia"/>
                <w:bCs/>
                <w:sz w:val="16"/>
                <w:szCs w:val="16"/>
              </w:rPr>
            </w:pPr>
          </w:p>
        </w:tc>
      </w:tr>
      <w:tr w14:paraId="3B3D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27" w:type="pct"/>
            <w:vAlign w:val="center"/>
          </w:tcPr>
          <w:p w14:paraId="32FBCD4B">
            <w:pPr>
              <w:jc w:val="center"/>
              <w:rPr>
                <w:rFonts w:hint="eastAsia" w:cs="方正仿宋_GBK" w:asciiTheme="minorEastAsia" w:hAnsiTheme="minorEastAsia" w:eastAsiaTheme="minorEastAsia"/>
                <w:bCs/>
                <w:sz w:val="16"/>
                <w:szCs w:val="16"/>
              </w:rPr>
            </w:pPr>
            <w:bookmarkStart w:id="76" w:name="_Toc27313"/>
            <w:bookmarkStart w:id="77" w:name="_Toc26632"/>
            <w:bookmarkStart w:id="78" w:name="_Toc22334"/>
            <w:bookmarkStart w:id="79" w:name="_Toc8002"/>
            <w:r>
              <w:rPr>
                <w:rFonts w:hint="eastAsia" w:cs="方正仿宋_GBK" w:asciiTheme="minorEastAsia" w:hAnsiTheme="minorEastAsia" w:eastAsiaTheme="minorEastAsia"/>
                <w:bCs/>
                <w:sz w:val="16"/>
                <w:szCs w:val="16"/>
              </w:rPr>
              <w:t>射频场感应的传导骚扰抗扰度试验</w:t>
            </w:r>
            <w:bookmarkEnd w:id="76"/>
            <w:bookmarkEnd w:id="77"/>
            <w:bookmarkEnd w:id="78"/>
            <w:bookmarkEnd w:id="79"/>
          </w:p>
        </w:tc>
        <w:tc>
          <w:tcPr>
            <w:tcW w:w="333" w:type="pct"/>
            <w:vAlign w:val="center"/>
          </w:tcPr>
          <w:p w14:paraId="1EB91533">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A类</w:t>
            </w:r>
          </w:p>
        </w:tc>
        <w:tc>
          <w:tcPr>
            <w:tcW w:w="1331" w:type="pct"/>
            <w:vAlign w:val="center"/>
          </w:tcPr>
          <w:p w14:paraId="07D9159D">
            <w:pPr>
              <w:jc w:val="center"/>
              <w:rPr>
                <w:rFonts w:hint="eastAsia" w:cs="方正仿宋_GBK" w:asciiTheme="minorEastAsia" w:hAnsiTheme="minorEastAsia" w:eastAsiaTheme="minorEastAsia"/>
                <w:bCs/>
                <w:sz w:val="16"/>
                <w:szCs w:val="16"/>
              </w:rPr>
            </w:pPr>
            <w:bookmarkStart w:id="80" w:name="_Toc8974"/>
            <w:bookmarkStart w:id="81" w:name="_Toc14932"/>
            <w:bookmarkStart w:id="82" w:name="_Toc27817"/>
            <w:bookmarkStart w:id="83" w:name="_Toc26723"/>
            <w:r>
              <w:rPr>
                <w:rFonts w:hint="eastAsia" w:cs="方正仿宋_GBK" w:asciiTheme="minorEastAsia" w:hAnsiTheme="minorEastAsia" w:eastAsiaTheme="minorEastAsia"/>
                <w:bCs/>
                <w:sz w:val="16"/>
                <w:szCs w:val="16"/>
              </w:rPr>
              <w:t>10V/m(调剂)</w:t>
            </w:r>
            <w:bookmarkEnd w:id="80"/>
            <w:bookmarkEnd w:id="81"/>
            <w:bookmarkEnd w:id="82"/>
            <w:bookmarkEnd w:id="83"/>
          </w:p>
        </w:tc>
        <w:tc>
          <w:tcPr>
            <w:tcW w:w="1474" w:type="pct"/>
            <w:vAlign w:val="center"/>
          </w:tcPr>
          <w:p w14:paraId="5440162D">
            <w:pPr>
              <w:jc w:val="center"/>
              <w:rPr>
                <w:rFonts w:hint="eastAsia" w:cs="方正仿宋_GBK" w:asciiTheme="minorEastAsia" w:hAnsiTheme="minorEastAsia" w:eastAsiaTheme="minorEastAsia"/>
                <w:bCs/>
                <w:sz w:val="16"/>
                <w:szCs w:val="16"/>
              </w:rPr>
            </w:pPr>
            <w:bookmarkStart w:id="84" w:name="_Toc18913"/>
            <w:bookmarkStart w:id="85" w:name="_Toc11660"/>
            <w:bookmarkStart w:id="86" w:name="_Toc30818"/>
            <w:r>
              <w:rPr>
                <w:rFonts w:hint="eastAsia" w:cs="方正仿宋_GBK" w:asciiTheme="minorEastAsia" w:hAnsiTheme="minorEastAsia" w:eastAsiaTheme="minorEastAsia"/>
                <w:bCs/>
                <w:sz w:val="16"/>
                <w:szCs w:val="16"/>
              </w:rPr>
              <w:t>电源端和保护接地端</w:t>
            </w:r>
            <w:bookmarkEnd w:id="84"/>
            <w:bookmarkEnd w:id="85"/>
            <w:bookmarkEnd w:id="86"/>
          </w:p>
        </w:tc>
        <w:tc>
          <w:tcPr>
            <w:tcW w:w="634" w:type="pct"/>
            <w:vMerge w:val="continue"/>
            <w:vAlign w:val="center"/>
          </w:tcPr>
          <w:p w14:paraId="746A99EE">
            <w:pPr>
              <w:jc w:val="left"/>
              <w:rPr>
                <w:rFonts w:hint="eastAsia" w:cs="方正仿宋_GBK" w:asciiTheme="minorEastAsia" w:hAnsiTheme="minorEastAsia" w:eastAsiaTheme="minorEastAsia"/>
                <w:bCs/>
                <w:sz w:val="16"/>
                <w:szCs w:val="16"/>
              </w:rPr>
            </w:pPr>
          </w:p>
        </w:tc>
      </w:tr>
      <w:tr w14:paraId="15CD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7" w:type="pct"/>
            <w:vAlign w:val="center"/>
          </w:tcPr>
          <w:p w14:paraId="48462686">
            <w:pPr>
              <w:jc w:val="center"/>
              <w:rPr>
                <w:rFonts w:hint="eastAsia" w:cs="方正仿宋_GBK" w:asciiTheme="minorEastAsia" w:hAnsiTheme="minorEastAsia" w:eastAsiaTheme="minorEastAsia"/>
                <w:bCs/>
                <w:sz w:val="16"/>
                <w:szCs w:val="16"/>
              </w:rPr>
            </w:pPr>
            <w:bookmarkStart w:id="87" w:name="_Toc3265"/>
            <w:bookmarkStart w:id="88" w:name="_Toc23208"/>
            <w:bookmarkStart w:id="89" w:name="_Toc19802"/>
            <w:bookmarkStart w:id="90" w:name="_Toc12959"/>
            <w:r>
              <w:rPr>
                <w:rFonts w:hint="eastAsia" w:cs="方正仿宋_GBK" w:asciiTheme="minorEastAsia" w:hAnsiTheme="minorEastAsia" w:eastAsiaTheme="minorEastAsia"/>
                <w:bCs/>
                <w:sz w:val="16"/>
                <w:szCs w:val="16"/>
              </w:rPr>
              <w:t>工频磁场抗扰度试验</w:t>
            </w:r>
            <w:bookmarkEnd w:id="87"/>
            <w:bookmarkEnd w:id="88"/>
            <w:bookmarkEnd w:id="89"/>
            <w:bookmarkEnd w:id="90"/>
          </w:p>
        </w:tc>
        <w:tc>
          <w:tcPr>
            <w:tcW w:w="333" w:type="pct"/>
            <w:vAlign w:val="center"/>
          </w:tcPr>
          <w:p w14:paraId="17F20F41">
            <w:pPr>
              <w:jc w:val="center"/>
              <w:rPr>
                <w:rFonts w:hint="eastAsia" w:cs="方正仿宋_GBK" w:asciiTheme="minorEastAsia" w:hAnsiTheme="minorEastAsia" w:eastAsiaTheme="minorEastAsia"/>
                <w:bCs/>
                <w:sz w:val="16"/>
                <w:szCs w:val="16"/>
              </w:rPr>
            </w:pPr>
            <w:r>
              <w:rPr>
                <w:rFonts w:hint="eastAsia" w:cs="方正仿宋_GBK" w:asciiTheme="minorEastAsia" w:hAnsiTheme="minorEastAsia" w:eastAsiaTheme="minorEastAsia"/>
                <w:bCs/>
                <w:sz w:val="16"/>
                <w:szCs w:val="16"/>
              </w:rPr>
              <w:t>B类</w:t>
            </w:r>
          </w:p>
        </w:tc>
        <w:tc>
          <w:tcPr>
            <w:tcW w:w="1331" w:type="pct"/>
            <w:vAlign w:val="center"/>
          </w:tcPr>
          <w:p w14:paraId="02E22502">
            <w:pPr>
              <w:jc w:val="center"/>
              <w:rPr>
                <w:rFonts w:hint="eastAsia" w:cs="方正仿宋_GBK" w:asciiTheme="minorEastAsia" w:hAnsiTheme="minorEastAsia" w:eastAsiaTheme="minorEastAsia"/>
                <w:bCs/>
                <w:sz w:val="16"/>
                <w:szCs w:val="16"/>
              </w:rPr>
            </w:pPr>
            <w:bookmarkStart w:id="91" w:name="_Toc6300"/>
            <w:bookmarkStart w:id="92" w:name="_Toc25138"/>
            <w:bookmarkStart w:id="93" w:name="_Toc1688"/>
            <w:bookmarkStart w:id="94" w:name="_Toc13750"/>
            <w:r>
              <w:rPr>
                <w:rFonts w:hint="eastAsia" w:cs="方正仿宋_GBK" w:asciiTheme="minorEastAsia" w:hAnsiTheme="minorEastAsia" w:eastAsiaTheme="minorEastAsia"/>
                <w:bCs/>
                <w:sz w:val="16"/>
                <w:szCs w:val="16"/>
              </w:rPr>
              <w:t>30A/m稳态</w:t>
            </w:r>
            <w:bookmarkEnd w:id="91"/>
            <w:bookmarkEnd w:id="92"/>
            <w:bookmarkEnd w:id="93"/>
            <w:bookmarkEnd w:id="94"/>
          </w:p>
        </w:tc>
        <w:tc>
          <w:tcPr>
            <w:tcW w:w="1474" w:type="pct"/>
            <w:vAlign w:val="center"/>
          </w:tcPr>
          <w:p w14:paraId="3F58875B">
            <w:pPr>
              <w:jc w:val="center"/>
              <w:rPr>
                <w:rFonts w:hint="eastAsia" w:cs="方正仿宋_GBK" w:asciiTheme="minorEastAsia" w:hAnsiTheme="minorEastAsia" w:eastAsiaTheme="minorEastAsia"/>
                <w:bCs/>
                <w:sz w:val="16"/>
                <w:szCs w:val="16"/>
              </w:rPr>
            </w:pPr>
            <w:bookmarkStart w:id="95" w:name="_Toc6645"/>
            <w:bookmarkStart w:id="96" w:name="_Toc30963"/>
            <w:bookmarkStart w:id="97" w:name="_Toc24397"/>
            <w:bookmarkStart w:id="98" w:name="_Toc25262"/>
            <w:r>
              <w:rPr>
                <w:rFonts w:hint="eastAsia" w:cs="方正仿宋_GBK" w:asciiTheme="minorEastAsia" w:hAnsiTheme="minorEastAsia" w:eastAsiaTheme="minorEastAsia"/>
                <w:bCs/>
                <w:sz w:val="16"/>
                <w:szCs w:val="16"/>
              </w:rPr>
              <w:t>整机</w:t>
            </w:r>
            <w:bookmarkEnd w:id="95"/>
            <w:bookmarkEnd w:id="96"/>
            <w:bookmarkEnd w:id="97"/>
            <w:bookmarkEnd w:id="98"/>
          </w:p>
        </w:tc>
        <w:tc>
          <w:tcPr>
            <w:tcW w:w="634" w:type="pct"/>
            <w:vMerge w:val="continue"/>
            <w:vAlign w:val="center"/>
          </w:tcPr>
          <w:p w14:paraId="503D5643">
            <w:pPr>
              <w:jc w:val="left"/>
              <w:rPr>
                <w:rFonts w:hint="eastAsia" w:cs="方正仿宋_GBK" w:asciiTheme="minorEastAsia" w:hAnsiTheme="minorEastAsia" w:eastAsiaTheme="minorEastAsia"/>
                <w:bCs/>
                <w:sz w:val="16"/>
                <w:szCs w:val="16"/>
              </w:rPr>
            </w:pPr>
          </w:p>
        </w:tc>
      </w:tr>
    </w:tbl>
    <w:p w14:paraId="2C911BBD">
      <w:pPr>
        <w:pStyle w:val="10"/>
        <w:widowControl/>
        <w:spacing w:beforeAutospacing="0" w:afterAutospacing="0" w:line="360" w:lineRule="auto"/>
        <w:rPr>
          <w:rFonts w:hint="eastAsia" w:ascii="宋体" w:hAnsi="宋体"/>
          <w:bCs/>
          <w:kern w:val="2"/>
        </w:rPr>
      </w:pPr>
    </w:p>
    <w:p w14:paraId="294A4CDA">
      <w:pPr>
        <w:widowControl/>
        <w:spacing w:line="360" w:lineRule="auto"/>
        <w:jc w:val="left"/>
        <w:rPr>
          <w:rFonts w:hint="eastAsia" w:ascii="宋体" w:hAnsi="宋体"/>
          <w:b/>
          <w:sz w:val="24"/>
        </w:rPr>
      </w:pPr>
      <w:bookmarkStart w:id="99" w:name="_Toc503179113"/>
      <w:bookmarkStart w:id="100" w:name="_Toc466832421"/>
      <w:bookmarkStart w:id="101" w:name="_Toc10392"/>
      <w:bookmarkStart w:id="102" w:name="_Toc17105"/>
      <w:bookmarkStart w:id="103" w:name="_Toc466836161"/>
      <w:r>
        <w:rPr>
          <w:rFonts w:hint="eastAsia" w:ascii="宋体" w:hAnsi="宋体"/>
          <w:b/>
          <w:sz w:val="24"/>
        </w:rPr>
        <w:t>4.3 软件功能要求</w:t>
      </w:r>
      <w:bookmarkEnd w:id="99"/>
      <w:bookmarkEnd w:id="100"/>
      <w:bookmarkEnd w:id="101"/>
      <w:bookmarkEnd w:id="102"/>
      <w:bookmarkEnd w:id="103"/>
    </w:p>
    <w:p w14:paraId="008A293D">
      <w:pPr>
        <w:widowControl/>
        <w:spacing w:line="360" w:lineRule="auto"/>
        <w:jc w:val="left"/>
        <w:rPr>
          <w:rFonts w:hint="eastAsia" w:ascii="宋体" w:hAnsi="宋体"/>
          <w:bCs/>
          <w:sz w:val="24"/>
        </w:rPr>
      </w:pPr>
      <w:r>
        <w:rPr>
          <w:rFonts w:hint="eastAsia" w:ascii="宋体" w:hAnsi="宋体"/>
          <w:bCs/>
          <w:sz w:val="24"/>
        </w:rPr>
        <w:t>4.3.1具备局部放电分析功能，系统软件能够清晰显示局部放电幅值，特征图谱等信息，与典型局放特征图谱保持一致，能辅助现场工作人员判断局放类型、局放大小、局部放电位置。</w:t>
      </w:r>
    </w:p>
    <w:p w14:paraId="6B18063B">
      <w:pPr>
        <w:widowControl/>
        <w:spacing w:line="360" w:lineRule="auto"/>
        <w:jc w:val="left"/>
        <w:rPr>
          <w:rFonts w:hint="eastAsia" w:ascii="宋体" w:hAnsi="宋体"/>
          <w:bCs/>
          <w:sz w:val="24"/>
        </w:rPr>
      </w:pPr>
      <w:r>
        <w:rPr>
          <w:rFonts w:hint="eastAsia" w:ascii="宋体" w:hAnsi="宋体"/>
          <w:bCs/>
          <w:sz w:val="24"/>
        </w:rPr>
        <w:t>4.3.2具有局放报警提示和远方报警提示功能，就地局放报警时应有明显的提示标识。一旦出现绝缘损坏缺陷可以被早期发现、及时干预，以防止破坏性放电。</w:t>
      </w:r>
    </w:p>
    <w:p w14:paraId="78C368D4">
      <w:pPr>
        <w:widowControl/>
        <w:spacing w:line="360" w:lineRule="auto"/>
        <w:jc w:val="left"/>
        <w:rPr>
          <w:rFonts w:hint="eastAsia" w:ascii="宋体" w:hAnsi="宋体"/>
          <w:bCs/>
          <w:sz w:val="24"/>
        </w:rPr>
      </w:pPr>
      <w:r>
        <w:rPr>
          <w:rFonts w:hint="eastAsia" w:ascii="宋体" w:hAnsi="宋体"/>
          <w:bCs/>
          <w:sz w:val="24"/>
        </w:rPr>
        <w:t>4.3.3 实时监测：系统提供一体化数字驾驶舱、自定义监控页面、三维数字孪生等多种方式监控系统所采集的各种实时数据和设备状态。</w:t>
      </w:r>
    </w:p>
    <w:p w14:paraId="64FDA75A">
      <w:pPr>
        <w:widowControl/>
        <w:spacing w:line="360" w:lineRule="auto"/>
        <w:jc w:val="left"/>
        <w:rPr>
          <w:rFonts w:hint="eastAsia" w:ascii="宋体" w:hAnsi="宋体"/>
          <w:bCs/>
          <w:sz w:val="24"/>
        </w:rPr>
      </w:pPr>
      <w:r>
        <w:rPr>
          <w:rFonts w:hint="eastAsia" w:ascii="宋体" w:hAnsi="宋体"/>
          <w:bCs/>
          <w:sz w:val="24"/>
        </w:rPr>
        <w:t>4.3.4 历史数据查询：系统提供历史曲线、历史报表、自定义报表查询功能，用户可以通过多种形式查询系统运行的历史数据。</w:t>
      </w:r>
    </w:p>
    <w:p w14:paraId="128B4610">
      <w:pPr>
        <w:widowControl/>
        <w:spacing w:line="360" w:lineRule="auto"/>
        <w:jc w:val="left"/>
        <w:rPr>
          <w:rFonts w:hint="eastAsia" w:ascii="宋体" w:hAnsi="宋体"/>
          <w:bCs/>
          <w:sz w:val="24"/>
        </w:rPr>
      </w:pPr>
      <w:r>
        <w:rPr>
          <w:rFonts w:hint="eastAsia" w:ascii="宋体" w:hAnsi="宋体"/>
          <w:bCs/>
          <w:sz w:val="24"/>
        </w:rPr>
        <w:t>4.3.5 故障报警：系统对配电室运行故障的监视功能，通过故障管理功能，用户可对告警进行实时的监控，以提高故障发现、故障处理的效率，减小故障造成的影响，更加有效的保障安全运行；系统为用户提供告警的实时监控浏览与查询。</w:t>
      </w:r>
    </w:p>
    <w:p w14:paraId="1F94AD58">
      <w:pPr>
        <w:widowControl/>
        <w:spacing w:line="360" w:lineRule="auto"/>
        <w:jc w:val="left"/>
        <w:rPr>
          <w:rFonts w:hint="eastAsia" w:ascii="宋体" w:hAnsi="宋体"/>
          <w:bCs/>
          <w:sz w:val="24"/>
        </w:rPr>
      </w:pPr>
      <w:r>
        <w:rPr>
          <w:rFonts w:hint="eastAsia" w:ascii="宋体" w:hAnsi="宋体"/>
          <w:bCs/>
          <w:sz w:val="24"/>
        </w:rPr>
        <w:t>4.3.6故障辅助分析：系统可以记录事故告警时间点前后几分钟所有相关联的数据的变化情况，记录的周期为秒级，可用于帮助运维人员找到故障的原因。</w:t>
      </w:r>
    </w:p>
    <w:p w14:paraId="7ADB2206">
      <w:pPr>
        <w:widowControl/>
        <w:spacing w:line="360" w:lineRule="auto"/>
        <w:jc w:val="left"/>
        <w:rPr>
          <w:rFonts w:hint="eastAsia" w:ascii="宋体" w:hAnsi="宋体"/>
          <w:b/>
          <w:sz w:val="24"/>
        </w:rPr>
      </w:pPr>
      <w:r>
        <w:rPr>
          <w:rFonts w:hint="eastAsia" w:ascii="宋体" w:hAnsi="宋体"/>
          <w:b/>
          <w:sz w:val="24"/>
        </w:rPr>
        <w:t>4.4通信及组网</w:t>
      </w:r>
    </w:p>
    <w:p w14:paraId="2F76AFCC">
      <w:pPr>
        <w:widowControl/>
        <w:spacing w:line="360" w:lineRule="auto"/>
        <w:ind w:firstLine="480" w:firstLineChars="200"/>
        <w:jc w:val="left"/>
        <w:rPr>
          <w:rFonts w:hint="eastAsia" w:ascii="宋体" w:hAnsi="宋体"/>
          <w:bCs/>
          <w:sz w:val="24"/>
        </w:rPr>
      </w:pPr>
      <w:r>
        <w:rPr>
          <w:rFonts w:hint="eastAsia" w:ascii="宋体" w:hAnsi="宋体"/>
          <w:bCs/>
          <w:sz w:val="24"/>
        </w:rPr>
        <w:t>现场变电所至少有不少于两处不具备光纤通讯条件，需采用4G或其他通讯方式。乙方应充分勘察现场，提供的通讯方案应保证不得影响已成型的其它系统安全稳定运行（如SCADA、无线测温等）。</w:t>
      </w:r>
    </w:p>
    <w:p w14:paraId="53466C90">
      <w:pPr>
        <w:pStyle w:val="2"/>
        <w:spacing w:before="0" w:after="0" w:line="360" w:lineRule="auto"/>
        <w:rPr>
          <w:rFonts w:hint="eastAsia" w:ascii="宋体" w:hAnsi="宋体" w:cs="宋体"/>
          <w:sz w:val="28"/>
          <w:szCs w:val="28"/>
        </w:rPr>
      </w:pPr>
      <w:bookmarkStart w:id="104" w:name="_Toc205546293"/>
      <w:r>
        <w:rPr>
          <w:rFonts w:hint="eastAsia" w:ascii="宋体" w:hAnsi="宋体" w:cs="宋体"/>
          <w:sz w:val="28"/>
          <w:szCs w:val="28"/>
        </w:rPr>
        <w:t>5、技术偏离</w:t>
      </w:r>
      <w:bookmarkEnd w:id="104"/>
    </w:p>
    <w:tbl>
      <w:tblPr>
        <w:tblStyle w:val="11"/>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5"/>
        <w:gridCol w:w="2520"/>
        <w:gridCol w:w="2438"/>
        <w:gridCol w:w="1453"/>
      </w:tblGrid>
      <w:tr w14:paraId="6B83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846" w:type="dxa"/>
            <w:vAlign w:val="center"/>
          </w:tcPr>
          <w:p w14:paraId="547EAF42">
            <w:pPr>
              <w:widowControl/>
              <w:spacing w:line="360" w:lineRule="auto"/>
              <w:jc w:val="center"/>
              <w:rPr>
                <w:rFonts w:hint="eastAsia" w:ascii="宋体" w:hAnsi="宋体" w:cs="宋体"/>
                <w:bCs/>
                <w:sz w:val="24"/>
              </w:rPr>
            </w:pPr>
            <w:r>
              <w:rPr>
                <w:rFonts w:hint="eastAsia" w:ascii="宋体" w:hAnsi="宋体" w:cs="宋体"/>
                <w:bCs/>
                <w:sz w:val="24"/>
              </w:rPr>
              <w:t>序号</w:t>
            </w:r>
          </w:p>
        </w:tc>
        <w:tc>
          <w:tcPr>
            <w:tcW w:w="1275" w:type="dxa"/>
            <w:vAlign w:val="center"/>
          </w:tcPr>
          <w:p w14:paraId="464D5250">
            <w:pPr>
              <w:widowControl/>
              <w:spacing w:line="360" w:lineRule="auto"/>
              <w:jc w:val="center"/>
              <w:rPr>
                <w:rFonts w:hint="eastAsia" w:ascii="宋体" w:hAnsi="宋体" w:cs="宋体"/>
                <w:bCs/>
                <w:sz w:val="24"/>
              </w:rPr>
            </w:pPr>
            <w:r>
              <w:rPr>
                <w:rFonts w:hint="eastAsia" w:ascii="宋体" w:hAnsi="宋体" w:cs="宋体"/>
                <w:bCs/>
                <w:sz w:val="24"/>
              </w:rPr>
              <w:t>文件名称</w:t>
            </w:r>
          </w:p>
        </w:tc>
        <w:tc>
          <w:tcPr>
            <w:tcW w:w="2520" w:type="dxa"/>
            <w:vAlign w:val="center"/>
          </w:tcPr>
          <w:p w14:paraId="1AECCB08">
            <w:pPr>
              <w:widowControl/>
              <w:spacing w:line="360" w:lineRule="auto"/>
              <w:jc w:val="center"/>
              <w:rPr>
                <w:rFonts w:hint="eastAsia" w:ascii="宋体" w:hAnsi="宋体" w:cs="宋体"/>
                <w:bCs/>
                <w:sz w:val="24"/>
              </w:rPr>
            </w:pPr>
            <w:r>
              <w:rPr>
                <w:rFonts w:hint="eastAsia" w:ascii="宋体" w:hAnsi="宋体" w:cs="宋体"/>
                <w:bCs/>
                <w:sz w:val="24"/>
              </w:rPr>
              <w:t>条款</w:t>
            </w:r>
          </w:p>
        </w:tc>
        <w:tc>
          <w:tcPr>
            <w:tcW w:w="2438" w:type="dxa"/>
            <w:vAlign w:val="center"/>
          </w:tcPr>
          <w:p w14:paraId="4DE6E99C">
            <w:pPr>
              <w:widowControl/>
              <w:spacing w:line="360" w:lineRule="auto"/>
              <w:jc w:val="center"/>
              <w:rPr>
                <w:rFonts w:hint="eastAsia" w:ascii="宋体" w:hAnsi="宋体" w:cs="宋体"/>
                <w:bCs/>
                <w:sz w:val="24"/>
              </w:rPr>
            </w:pPr>
            <w:r>
              <w:rPr>
                <w:rFonts w:hint="eastAsia" w:ascii="宋体" w:hAnsi="宋体" w:cs="宋体"/>
                <w:bCs/>
                <w:sz w:val="24"/>
              </w:rPr>
              <w:t>偏离</w:t>
            </w:r>
          </w:p>
        </w:tc>
        <w:tc>
          <w:tcPr>
            <w:tcW w:w="1453" w:type="dxa"/>
            <w:vAlign w:val="center"/>
          </w:tcPr>
          <w:p w14:paraId="15A1490B">
            <w:pPr>
              <w:widowControl/>
              <w:spacing w:line="360" w:lineRule="auto"/>
              <w:jc w:val="center"/>
              <w:rPr>
                <w:rFonts w:hint="eastAsia" w:ascii="宋体" w:hAnsi="宋体" w:cs="宋体"/>
                <w:bCs/>
                <w:sz w:val="24"/>
              </w:rPr>
            </w:pPr>
            <w:r>
              <w:rPr>
                <w:rFonts w:hint="eastAsia" w:ascii="宋体" w:hAnsi="宋体" w:cs="宋体"/>
                <w:bCs/>
                <w:sz w:val="24"/>
              </w:rPr>
              <w:t>甲方核准</w:t>
            </w:r>
          </w:p>
        </w:tc>
      </w:tr>
      <w:tr w14:paraId="5BC2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5F0D7081">
            <w:pPr>
              <w:widowControl/>
              <w:spacing w:line="360" w:lineRule="auto"/>
              <w:jc w:val="center"/>
              <w:rPr>
                <w:rFonts w:hint="eastAsia" w:ascii="宋体" w:hAnsi="宋体" w:cs="宋体"/>
                <w:bCs/>
                <w:sz w:val="24"/>
              </w:rPr>
            </w:pPr>
            <w:r>
              <w:rPr>
                <w:rFonts w:hint="eastAsia" w:ascii="宋体" w:hAnsi="宋体" w:cs="宋体"/>
                <w:bCs/>
                <w:sz w:val="24"/>
              </w:rPr>
              <w:t>1</w:t>
            </w:r>
          </w:p>
        </w:tc>
        <w:tc>
          <w:tcPr>
            <w:tcW w:w="1275" w:type="dxa"/>
            <w:vAlign w:val="center"/>
          </w:tcPr>
          <w:p w14:paraId="7DE617B7">
            <w:pPr>
              <w:widowControl/>
              <w:spacing w:line="360" w:lineRule="auto"/>
              <w:jc w:val="center"/>
              <w:rPr>
                <w:rFonts w:hint="eastAsia" w:ascii="宋体" w:hAnsi="宋体" w:cs="宋体"/>
                <w:bCs/>
                <w:sz w:val="24"/>
              </w:rPr>
            </w:pPr>
          </w:p>
        </w:tc>
        <w:tc>
          <w:tcPr>
            <w:tcW w:w="2520" w:type="dxa"/>
            <w:vAlign w:val="center"/>
          </w:tcPr>
          <w:p w14:paraId="75D50C7E">
            <w:pPr>
              <w:widowControl/>
              <w:spacing w:line="360" w:lineRule="auto"/>
              <w:jc w:val="center"/>
              <w:rPr>
                <w:rFonts w:hint="eastAsia" w:ascii="宋体" w:hAnsi="宋体" w:cs="宋体"/>
                <w:bCs/>
                <w:sz w:val="24"/>
              </w:rPr>
            </w:pPr>
          </w:p>
        </w:tc>
        <w:tc>
          <w:tcPr>
            <w:tcW w:w="2438" w:type="dxa"/>
            <w:vAlign w:val="center"/>
          </w:tcPr>
          <w:p w14:paraId="21C8AB26">
            <w:pPr>
              <w:widowControl/>
              <w:spacing w:line="360" w:lineRule="auto"/>
              <w:jc w:val="center"/>
              <w:rPr>
                <w:rFonts w:hint="eastAsia" w:ascii="宋体" w:hAnsi="宋体" w:cs="宋体"/>
                <w:bCs/>
                <w:sz w:val="24"/>
              </w:rPr>
            </w:pPr>
          </w:p>
        </w:tc>
        <w:tc>
          <w:tcPr>
            <w:tcW w:w="1453" w:type="dxa"/>
          </w:tcPr>
          <w:p w14:paraId="73817D01">
            <w:pPr>
              <w:widowControl/>
              <w:spacing w:line="360" w:lineRule="auto"/>
              <w:jc w:val="center"/>
              <w:rPr>
                <w:rFonts w:hint="eastAsia" w:ascii="宋体" w:hAnsi="宋体" w:cs="宋体"/>
                <w:bCs/>
                <w:sz w:val="24"/>
              </w:rPr>
            </w:pPr>
          </w:p>
        </w:tc>
      </w:tr>
      <w:tr w14:paraId="7C0B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6BADC960">
            <w:pPr>
              <w:widowControl/>
              <w:spacing w:line="360" w:lineRule="auto"/>
              <w:jc w:val="center"/>
              <w:rPr>
                <w:rFonts w:hint="eastAsia" w:ascii="宋体" w:hAnsi="宋体" w:cs="宋体"/>
                <w:bCs/>
                <w:sz w:val="24"/>
              </w:rPr>
            </w:pPr>
            <w:r>
              <w:rPr>
                <w:rFonts w:hint="eastAsia" w:ascii="宋体" w:hAnsi="宋体" w:cs="宋体"/>
                <w:bCs/>
                <w:sz w:val="24"/>
              </w:rPr>
              <w:t>2</w:t>
            </w:r>
          </w:p>
        </w:tc>
        <w:tc>
          <w:tcPr>
            <w:tcW w:w="1275" w:type="dxa"/>
            <w:vAlign w:val="center"/>
          </w:tcPr>
          <w:p w14:paraId="00F77444">
            <w:pPr>
              <w:widowControl/>
              <w:spacing w:line="360" w:lineRule="auto"/>
              <w:jc w:val="center"/>
              <w:rPr>
                <w:rFonts w:hint="eastAsia" w:ascii="宋体" w:hAnsi="宋体" w:cs="宋体"/>
                <w:bCs/>
                <w:sz w:val="24"/>
              </w:rPr>
            </w:pPr>
          </w:p>
        </w:tc>
        <w:tc>
          <w:tcPr>
            <w:tcW w:w="2520" w:type="dxa"/>
            <w:vAlign w:val="center"/>
          </w:tcPr>
          <w:p w14:paraId="373F58AD">
            <w:pPr>
              <w:widowControl/>
              <w:spacing w:line="360" w:lineRule="auto"/>
              <w:jc w:val="center"/>
              <w:rPr>
                <w:rFonts w:hint="eastAsia" w:ascii="宋体" w:hAnsi="宋体" w:cs="宋体"/>
                <w:bCs/>
                <w:sz w:val="24"/>
              </w:rPr>
            </w:pPr>
          </w:p>
        </w:tc>
        <w:tc>
          <w:tcPr>
            <w:tcW w:w="2438" w:type="dxa"/>
            <w:vAlign w:val="center"/>
          </w:tcPr>
          <w:p w14:paraId="190E3BFF">
            <w:pPr>
              <w:widowControl/>
              <w:spacing w:line="360" w:lineRule="auto"/>
              <w:jc w:val="center"/>
              <w:rPr>
                <w:rFonts w:hint="eastAsia" w:ascii="宋体" w:hAnsi="宋体" w:cs="宋体"/>
                <w:bCs/>
                <w:sz w:val="24"/>
              </w:rPr>
            </w:pPr>
          </w:p>
        </w:tc>
        <w:tc>
          <w:tcPr>
            <w:tcW w:w="1453" w:type="dxa"/>
          </w:tcPr>
          <w:p w14:paraId="2E47E697">
            <w:pPr>
              <w:widowControl/>
              <w:spacing w:line="360" w:lineRule="auto"/>
              <w:jc w:val="center"/>
              <w:rPr>
                <w:rFonts w:hint="eastAsia" w:ascii="宋体" w:hAnsi="宋体" w:cs="宋体"/>
                <w:bCs/>
                <w:sz w:val="24"/>
              </w:rPr>
            </w:pPr>
          </w:p>
        </w:tc>
      </w:tr>
      <w:tr w14:paraId="3EF1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vAlign w:val="center"/>
          </w:tcPr>
          <w:p w14:paraId="55E70BC0">
            <w:pPr>
              <w:widowControl/>
              <w:spacing w:line="360" w:lineRule="auto"/>
              <w:jc w:val="center"/>
              <w:rPr>
                <w:rFonts w:hint="eastAsia" w:ascii="宋体" w:hAnsi="宋体" w:cs="宋体"/>
                <w:bCs/>
                <w:sz w:val="24"/>
              </w:rPr>
            </w:pPr>
            <w:r>
              <w:rPr>
                <w:rFonts w:hint="eastAsia" w:ascii="宋体" w:hAnsi="宋体" w:cs="宋体"/>
                <w:bCs/>
                <w:sz w:val="24"/>
              </w:rPr>
              <w:t>3</w:t>
            </w:r>
          </w:p>
        </w:tc>
        <w:tc>
          <w:tcPr>
            <w:tcW w:w="1275" w:type="dxa"/>
            <w:vAlign w:val="center"/>
          </w:tcPr>
          <w:p w14:paraId="1DDCCC22">
            <w:pPr>
              <w:widowControl/>
              <w:spacing w:line="360" w:lineRule="auto"/>
              <w:jc w:val="center"/>
              <w:rPr>
                <w:rFonts w:hint="eastAsia" w:ascii="宋体" w:hAnsi="宋体" w:cs="宋体"/>
                <w:bCs/>
                <w:sz w:val="24"/>
              </w:rPr>
            </w:pPr>
          </w:p>
        </w:tc>
        <w:tc>
          <w:tcPr>
            <w:tcW w:w="2520" w:type="dxa"/>
            <w:vAlign w:val="center"/>
          </w:tcPr>
          <w:p w14:paraId="67A22D89">
            <w:pPr>
              <w:widowControl/>
              <w:spacing w:line="360" w:lineRule="auto"/>
              <w:jc w:val="center"/>
              <w:rPr>
                <w:rFonts w:hint="eastAsia" w:ascii="宋体" w:hAnsi="宋体" w:cs="宋体"/>
                <w:bCs/>
                <w:sz w:val="24"/>
              </w:rPr>
            </w:pPr>
          </w:p>
        </w:tc>
        <w:tc>
          <w:tcPr>
            <w:tcW w:w="2438" w:type="dxa"/>
            <w:vAlign w:val="center"/>
          </w:tcPr>
          <w:p w14:paraId="4EEEB5BD">
            <w:pPr>
              <w:widowControl/>
              <w:spacing w:line="360" w:lineRule="auto"/>
              <w:jc w:val="center"/>
              <w:rPr>
                <w:rFonts w:hint="eastAsia" w:ascii="宋体" w:hAnsi="宋体" w:cs="宋体"/>
                <w:bCs/>
                <w:sz w:val="24"/>
              </w:rPr>
            </w:pPr>
          </w:p>
        </w:tc>
        <w:tc>
          <w:tcPr>
            <w:tcW w:w="1453" w:type="dxa"/>
          </w:tcPr>
          <w:p w14:paraId="0B9EB5B9">
            <w:pPr>
              <w:widowControl/>
              <w:spacing w:line="360" w:lineRule="auto"/>
              <w:jc w:val="center"/>
              <w:rPr>
                <w:rFonts w:hint="eastAsia" w:ascii="宋体" w:hAnsi="宋体" w:cs="宋体"/>
                <w:bCs/>
                <w:sz w:val="24"/>
              </w:rPr>
            </w:pPr>
          </w:p>
        </w:tc>
      </w:tr>
      <w:tr w14:paraId="4285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3CC0A4D2">
            <w:pPr>
              <w:widowControl/>
              <w:spacing w:line="360" w:lineRule="auto"/>
              <w:jc w:val="center"/>
              <w:rPr>
                <w:rFonts w:hint="eastAsia" w:ascii="宋体" w:hAnsi="宋体" w:cs="宋体"/>
                <w:bCs/>
                <w:sz w:val="24"/>
              </w:rPr>
            </w:pPr>
            <w:r>
              <w:rPr>
                <w:rFonts w:hint="eastAsia" w:ascii="宋体" w:hAnsi="宋体" w:cs="宋体"/>
                <w:bCs/>
                <w:sz w:val="24"/>
              </w:rPr>
              <w:t>4</w:t>
            </w:r>
          </w:p>
        </w:tc>
        <w:tc>
          <w:tcPr>
            <w:tcW w:w="1275" w:type="dxa"/>
            <w:tcBorders>
              <w:top w:val="single" w:color="auto" w:sz="4" w:space="0"/>
              <w:left w:val="single" w:color="auto" w:sz="4" w:space="0"/>
              <w:bottom w:val="single" w:color="auto" w:sz="4" w:space="0"/>
              <w:right w:val="single" w:color="auto" w:sz="4" w:space="0"/>
            </w:tcBorders>
            <w:vAlign w:val="center"/>
          </w:tcPr>
          <w:p w14:paraId="646B0C07">
            <w:pPr>
              <w:widowControl/>
              <w:spacing w:line="360" w:lineRule="auto"/>
              <w:jc w:val="center"/>
              <w:rPr>
                <w:rFonts w:hint="eastAsia" w:ascii="宋体" w:hAnsi="宋体" w:cs="宋体"/>
                <w:bCs/>
                <w:sz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1D56AAAA">
            <w:pPr>
              <w:widowControl/>
              <w:spacing w:line="360" w:lineRule="auto"/>
              <w:jc w:val="center"/>
              <w:rPr>
                <w:rFonts w:hint="eastAsia" w:ascii="宋体" w:hAnsi="宋体" w:cs="宋体"/>
                <w:bCs/>
                <w:sz w:val="24"/>
              </w:rPr>
            </w:pPr>
          </w:p>
        </w:tc>
        <w:tc>
          <w:tcPr>
            <w:tcW w:w="2438" w:type="dxa"/>
            <w:tcBorders>
              <w:top w:val="single" w:color="auto" w:sz="4" w:space="0"/>
              <w:left w:val="single" w:color="auto" w:sz="4" w:space="0"/>
              <w:bottom w:val="single" w:color="auto" w:sz="4" w:space="0"/>
              <w:right w:val="single" w:color="auto" w:sz="4" w:space="0"/>
            </w:tcBorders>
            <w:vAlign w:val="center"/>
          </w:tcPr>
          <w:p w14:paraId="4BF27073">
            <w:pPr>
              <w:widowControl/>
              <w:spacing w:line="360" w:lineRule="auto"/>
              <w:jc w:val="center"/>
              <w:rPr>
                <w:rFonts w:hint="eastAsia" w:ascii="宋体" w:hAnsi="宋体" w:cs="宋体"/>
                <w:bCs/>
                <w:sz w:val="24"/>
              </w:rPr>
            </w:pPr>
          </w:p>
        </w:tc>
        <w:tc>
          <w:tcPr>
            <w:tcW w:w="1453" w:type="dxa"/>
            <w:tcBorders>
              <w:top w:val="single" w:color="auto" w:sz="4" w:space="0"/>
              <w:left w:val="single" w:color="auto" w:sz="4" w:space="0"/>
              <w:bottom w:val="single" w:color="auto" w:sz="4" w:space="0"/>
              <w:right w:val="single" w:color="auto" w:sz="4" w:space="0"/>
            </w:tcBorders>
          </w:tcPr>
          <w:p w14:paraId="2DC36DC5">
            <w:pPr>
              <w:widowControl/>
              <w:spacing w:line="360" w:lineRule="auto"/>
              <w:jc w:val="center"/>
              <w:rPr>
                <w:rFonts w:hint="eastAsia" w:ascii="宋体" w:hAnsi="宋体" w:cs="宋体"/>
                <w:bCs/>
                <w:sz w:val="24"/>
              </w:rPr>
            </w:pPr>
          </w:p>
        </w:tc>
      </w:tr>
      <w:tr w14:paraId="7C50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14:paraId="5CA994E5">
            <w:pPr>
              <w:widowControl/>
              <w:spacing w:line="360" w:lineRule="auto"/>
              <w:jc w:val="center"/>
              <w:rPr>
                <w:rFonts w:hint="eastAsia" w:ascii="宋体" w:hAnsi="宋体" w:cs="宋体"/>
                <w:bCs/>
                <w:sz w:val="24"/>
              </w:rPr>
            </w:pPr>
            <w:r>
              <w:rPr>
                <w:rFonts w:hint="eastAsia" w:ascii="宋体" w:hAnsi="宋体" w:cs="宋体"/>
                <w:bCs/>
                <w:sz w:val="24"/>
              </w:rPr>
              <w:t>5</w:t>
            </w:r>
          </w:p>
        </w:tc>
        <w:tc>
          <w:tcPr>
            <w:tcW w:w="1275" w:type="dxa"/>
            <w:tcBorders>
              <w:top w:val="single" w:color="auto" w:sz="4" w:space="0"/>
              <w:left w:val="single" w:color="auto" w:sz="4" w:space="0"/>
              <w:bottom w:val="single" w:color="auto" w:sz="4" w:space="0"/>
              <w:right w:val="single" w:color="auto" w:sz="4" w:space="0"/>
            </w:tcBorders>
            <w:vAlign w:val="center"/>
          </w:tcPr>
          <w:p w14:paraId="4D62DD8B">
            <w:pPr>
              <w:widowControl/>
              <w:spacing w:line="360" w:lineRule="auto"/>
              <w:jc w:val="center"/>
              <w:rPr>
                <w:rFonts w:hint="eastAsia" w:ascii="宋体" w:hAnsi="宋体" w:cs="宋体"/>
                <w:bCs/>
                <w:sz w:val="24"/>
              </w:rPr>
            </w:pPr>
          </w:p>
        </w:tc>
        <w:tc>
          <w:tcPr>
            <w:tcW w:w="2520" w:type="dxa"/>
            <w:tcBorders>
              <w:top w:val="single" w:color="auto" w:sz="4" w:space="0"/>
              <w:left w:val="single" w:color="auto" w:sz="4" w:space="0"/>
              <w:bottom w:val="single" w:color="auto" w:sz="4" w:space="0"/>
              <w:right w:val="single" w:color="auto" w:sz="4" w:space="0"/>
            </w:tcBorders>
            <w:vAlign w:val="center"/>
          </w:tcPr>
          <w:p w14:paraId="62471D63">
            <w:pPr>
              <w:widowControl/>
              <w:spacing w:line="360" w:lineRule="auto"/>
              <w:jc w:val="center"/>
              <w:rPr>
                <w:rFonts w:hint="eastAsia" w:ascii="宋体" w:hAnsi="宋体" w:cs="宋体"/>
                <w:bCs/>
                <w:sz w:val="24"/>
              </w:rPr>
            </w:pPr>
          </w:p>
        </w:tc>
        <w:tc>
          <w:tcPr>
            <w:tcW w:w="2438" w:type="dxa"/>
            <w:tcBorders>
              <w:top w:val="single" w:color="auto" w:sz="4" w:space="0"/>
              <w:left w:val="single" w:color="auto" w:sz="4" w:space="0"/>
              <w:bottom w:val="single" w:color="auto" w:sz="4" w:space="0"/>
              <w:right w:val="single" w:color="auto" w:sz="4" w:space="0"/>
            </w:tcBorders>
            <w:vAlign w:val="center"/>
          </w:tcPr>
          <w:p w14:paraId="14FF3326">
            <w:pPr>
              <w:widowControl/>
              <w:spacing w:line="360" w:lineRule="auto"/>
              <w:jc w:val="center"/>
              <w:rPr>
                <w:rFonts w:hint="eastAsia" w:ascii="宋体" w:hAnsi="宋体" w:cs="宋体"/>
                <w:bCs/>
                <w:sz w:val="24"/>
              </w:rPr>
            </w:pPr>
          </w:p>
        </w:tc>
        <w:tc>
          <w:tcPr>
            <w:tcW w:w="1453" w:type="dxa"/>
            <w:tcBorders>
              <w:top w:val="single" w:color="auto" w:sz="4" w:space="0"/>
              <w:left w:val="single" w:color="auto" w:sz="4" w:space="0"/>
              <w:bottom w:val="single" w:color="auto" w:sz="4" w:space="0"/>
              <w:right w:val="single" w:color="auto" w:sz="4" w:space="0"/>
            </w:tcBorders>
          </w:tcPr>
          <w:p w14:paraId="47F94307">
            <w:pPr>
              <w:widowControl/>
              <w:spacing w:line="360" w:lineRule="auto"/>
              <w:jc w:val="center"/>
              <w:rPr>
                <w:rFonts w:hint="eastAsia" w:ascii="宋体" w:hAnsi="宋体" w:cs="宋体"/>
                <w:bCs/>
                <w:sz w:val="24"/>
              </w:rPr>
            </w:pPr>
          </w:p>
        </w:tc>
      </w:tr>
    </w:tbl>
    <w:p w14:paraId="523E18A9">
      <w:pPr>
        <w:pStyle w:val="2"/>
        <w:spacing w:before="0" w:after="0" w:line="360" w:lineRule="auto"/>
        <w:rPr>
          <w:rFonts w:hint="eastAsia" w:ascii="宋体" w:hAnsi="宋体" w:cs="宋体"/>
          <w:sz w:val="28"/>
          <w:szCs w:val="28"/>
        </w:rPr>
      </w:pPr>
      <w:bookmarkStart w:id="105" w:name="_Toc205546294"/>
      <w:r>
        <w:rPr>
          <w:rFonts w:hint="eastAsia" w:ascii="宋体" w:hAnsi="宋体" w:cs="宋体"/>
          <w:sz w:val="28"/>
          <w:szCs w:val="28"/>
        </w:rPr>
        <w:t>6、工作范围</w:t>
      </w:r>
      <w:bookmarkEnd w:id="105"/>
    </w:p>
    <w:p w14:paraId="5E84D9C1">
      <w:pPr>
        <w:pStyle w:val="16"/>
        <w:numPr>
          <w:ilvl w:val="0"/>
          <w:numId w:val="0"/>
        </w:numPr>
        <w:tabs>
          <w:tab w:val="clear" w:pos="1875"/>
        </w:tabs>
        <w:rPr>
          <w:rFonts w:hint="eastAsia" w:ascii="宋体"/>
        </w:rPr>
      </w:pPr>
      <w:r>
        <w:rPr>
          <w:rFonts w:hint="eastAsia" w:ascii="宋体"/>
        </w:rPr>
        <w:t>6.1.文件图纸资料</w:t>
      </w:r>
    </w:p>
    <w:p w14:paraId="0775D39E">
      <w:pPr>
        <w:pStyle w:val="17"/>
        <w:numPr>
          <w:ilvl w:val="0"/>
          <w:numId w:val="0"/>
        </w:numPr>
        <w:tabs>
          <w:tab w:val="clear" w:pos="1260"/>
        </w:tabs>
        <w:rPr>
          <w:rFonts w:hint="eastAsia" w:ascii="宋体" w:hAnsi="宋体"/>
        </w:rPr>
      </w:pPr>
      <w:r>
        <w:rPr>
          <w:rFonts w:hint="eastAsia" w:ascii="宋体" w:hAnsi="宋体"/>
        </w:rPr>
        <w:t>6.1.1提供符合本项目技术要求以及国家标准要求的文件资料，乙方提交的图纸和文件的内容深度应满足本项目的要求，不满足要求的文件将被拒收，需重新提交。</w:t>
      </w:r>
    </w:p>
    <w:p w14:paraId="484C44B7">
      <w:pPr>
        <w:pStyle w:val="17"/>
        <w:numPr>
          <w:ilvl w:val="0"/>
          <w:numId w:val="0"/>
        </w:numPr>
        <w:tabs>
          <w:tab w:val="clear" w:pos="1260"/>
        </w:tabs>
        <w:rPr>
          <w:rFonts w:hint="eastAsia" w:ascii="宋体" w:hAnsi="宋体"/>
        </w:rPr>
      </w:pPr>
      <w:r>
        <w:rPr>
          <w:rFonts w:hint="eastAsia" w:ascii="宋体" w:hAnsi="宋体"/>
        </w:rPr>
        <w:t>6.1.2文件的遗失，即使是部分的文件遗失，甲方将认为乙方的文件没按期完成，乙方有义务重新提交。</w:t>
      </w:r>
    </w:p>
    <w:p w14:paraId="1F192AE6">
      <w:pPr>
        <w:pStyle w:val="17"/>
        <w:numPr>
          <w:ilvl w:val="0"/>
          <w:numId w:val="0"/>
        </w:numPr>
        <w:tabs>
          <w:tab w:val="clear" w:pos="1260"/>
        </w:tabs>
        <w:rPr>
          <w:rFonts w:hint="eastAsia" w:ascii="宋体" w:hAnsi="宋体"/>
        </w:rPr>
      </w:pPr>
      <w:r>
        <w:rPr>
          <w:rFonts w:hint="eastAsia" w:ascii="宋体" w:hAnsi="宋体"/>
        </w:rPr>
        <w:t>6.1.3合同执行期间，乙方应按</w:t>
      </w:r>
      <w:r>
        <w:rPr>
          <w:rFonts w:ascii="宋体" w:hAnsi="宋体"/>
        </w:rPr>
        <w:fldChar w:fldCharType="begin"/>
      </w:r>
      <w:r>
        <w:rPr>
          <w:rFonts w:ascii="宋体" w:hAnsi="宋体"/>
        </w:rPr>
        <w:instrText xml:space="preserve"> </w:instrText>
      </w:r>
      <w:r>
        <w:rPr>
          <w:rFonts w:hint="eastAsia" w:ascii="宋体" w:hAnsi="宋体"/>
        </w:rPr>
        <w:instrText xml:space="preserve">REF _Ref494098539 \r \h</w:instrText>
      </w:r>
      <w:r>
        <w:rPr>
          <w:rFonts w:ascii="宋体" w:hAnsi="宋体"/>
        </w:rPr>
        <w:instrText xml:space="preserve">  \* MERGEFORMAT </w:instrText>
      </w:r>
      <w:r>
        <w:rPr>
          <w:rFonts w:ascii="宋体" w:hAnsi="宋体"/>
        </w:rPr>
        <w:fldChar w:fldCharType="separate"/>
      </w:r>
      <w:r>
        <w:rPr>
          <w:rFonts w:hint="eastAsia" w:ascii="宋体" w:hAnsi="宋体"/>
        </w:rPr>
        <w:t>甲方</w:t>
      </w:r>
      <w:r>
        <w:rPr>
          <w:rFonts w:ascii="宋体" w:hAnsi="宋体"/>
        </w:rPr>
        <w:fldChar w:fldCharType="end"/>
      </w:r>
      <w:r>
        <w:rPr>
          <w:rFonts w:hint="eastAsia" w:ascii="宋体" w:hAnsi="宋体"/>
        </w:rPr>
        <w:t>的要求交付厂商资料。</w:t>
      </w:r>
      <w:bookmarkStart w:id="106" w:name="OLE_LINK400"/>
      <w:bookmarkStart w:id="107" w:name="OLE_LINK401"/>
      <w:r>
        <w:rPr>
          <w:rFonts w:hint="eastAsia" w:ascii="宋体" w:hAnsi="宋体"/>
        </w:rPr>
        <w:t>厂商技术资料按交付用途通常可分为：供批准（FA）、供审查（FR）、供了解（FI）</w:t>
      </w:r>
      <w:bookmarkEnd w:id="106"/>
      <w:bookmarkEnd w:id="107"/>
      <w:r>
        <w:rPr>
          <w:rFonts w:hint="eastAsia" w:ascii="宋体" w:hAnsi="宋体"/>
        </w:rPr>
        <w:t>和最终版/供存档。</w:t>
      </w:r>
    </w:p>
    <w:p w14:paraId="4A76C385">
      <w:pPr>
        <w:pStyle w:val="17"/>
        <w:numPr>
          <w:ilvl w:val="0"/>
          <w:numId w:val="0"/>
        </w:numPr>
        <w:tabs>
          <w:tab w:val="clear" w:pos="1260"/>
        </w:tabs>
        <w:rPr>
          <w:rFonts w:hint="eastAsia" w:ascii="宋体" w:hAnsi="宋体"/>
        </w:rPr>
      </w:pPr>
      <w:r>
        <w:rPr>
          <w:rFonts w:hint="eastAsia" w:ascii="宋体" w:hAnsi="宋体"/>
        </w:rPr>
        <w:t>6.1.4甲方有权对乙方提交的文件资料提出修改意见，直至最终完成，对此甲方并不需承担任何的附加费用。</w:t>
      </w:r>
    </w:p>
    <w:p w14:paraId="38D35833">
      <w:pPr>
        <w:pStyle w:val="17"/>
        <w:numPr>
          <w:ilvl w:val="0"/>
          <w:numId w:val="0"/>
        </w:numPr>
        <w:tabs>
          <w:tab w:val="clear" w:pos="1260"/>
        </w:tabs>
        <w:rPr>
          <w:rFonts w:hint="eastAsia" w:ascii="宋体" w:hAnsi="宋体"/>
        </w:rPr>
      </w:pPr>
      <w:r>
        <w:rPr>
          <w:rFonts w:hint="eastAsia" w:ascii="宋体" w:hAnsi="宋体"/>
        </w:rPr>
        <w:t>6.1.5收到乙方交付的图纸及文件后，甲方将在5个工作日内返回一份带有审查意见的图纸。乙方在收到甲方带有审查意见的图纸及文件后，根据甲方的意见修改图纸及文件，并在5个工作日内将修改后的图纸再次提交甲方审查。</w:t>
      </w:r>
    </w:p>
    <w:p w14:paraId="688EC77E">
      <w:pPr>
        <w:pStyle w:val="17"/>
        <w:numPr>
          <w:ilvl w:val="0"/>
          <w:numId w:val="0"/>
        </w:numPr>
        <w:tabs>
          <w:tab w:val="clear" w:pos="1260"/>
        </w:tabs>
        <w:rPr>
          <w:rFonts w:hint="eastAsia" w:ascii="宋体" w:hAnsi="宋体"/>
        </w:rPr>
      </w:pPr>
      <w:r>
        <w:rPr>
          <w:rFonts w:hint="eastAsia" w:ascii="宋体" w:hAnsi="宋体"/>
        </w:rPr>
        <w:t>6.1.6乙方可采用电子邮件方式询问对审查意见的不理解或不确定之处，任何影响价格和进度的意见应立即通知甲方。</w:t>
      </w:r>
    </w:p>
    <w:p w14:paraId="1FC0DD48">
      <w:pPr>
        <w:pStyle w:val="16"/>
        <w:numPr>
          <w:ilvl w:val="0"/>
          <w:numId w:val="0"/>
        </w:numPr>
        <w:tabs>
          <w:tab w:val="clear" w:pos="1875"/>
        </w:tabs>
        <w:rPr>
          <w:rFonts w:hint="eastAsia" w:ascii="宋体"/>
        </w:rPr>
      </w:pPr>
      <w:r>
        <w:rPr>
          <w:rFonts w:hint="eastAsia" w:ascii="宋体"/>
        </w:rPr>
        <w:t>6.2.现场服务</w:t>
      </w:r>
    </w:p>
    <w:p w14:paraId="23D405FF">
      <w:pPr>
        <w:pStyle w:val="17"/>
        <w:numPr>
          <w:ilvl w:val="0"/>
          <w:numId w:val="0"/>
        </w:numPr>
        <w:tabs>
          <w:tab w:val="clear" w:pos="1260"/>
        </w:tabs>
        <w:rPr>
          <w:rFonts w:hint="eastAsia" w:ascii="宋体" w:hAnsi="宋体"/>
          <w:color w:val="FF0000"/>
          <w:highlight w:val="none"/>
        </w:rPr>
      </w:pPr>
      <w:bookmarkStart w:id="108" w:name="OLE_LINK282"/>
      <w:bookmarkStart w:id="109" w:name="OLE_LINK281"/>
      <w:r>
        <w:rPr>
          <w:rFonts w:hint="eastAsia" w:ascii="宋体" w:hAnsi="宋体"/>
          <w:color w:val="FF0000"/>
          <w:highlight w:val="none"/>
        </w:rPr>
        <w:t>6.2.1乙方应派遣足够有经验的技术人员到项目现场进行</w:t>
      </w:r>
      <w:r>
        <w:rPr>
          <w:rFonts w:hint="eastAsia" w:ascii="宋体" w:hAnsi="宋体"/>
          <w:b/>
          <w:bCs/>
          <w:color w:val="FF0000"/>
          <w:highlight w:val="none"/>
        </w:rPr>
        <w:t>施工安装</w:t>
      </w:r>
      <w:r>
        <w:rPr>
          <w:rFonts w:hint="eastAsia" w:ascii="宋体" w:hAnsi="宋体"/>
          <w:color w:val="FF0000"/>
          <w:highlight w:val="none"/>
        </w:rPr>
        <w:t>。服务范围含设备安装，通讯网络搭建，机柜安装调试，系统部署调试以及其他涉及本项目的协同工作。</w:t>
      </w:r>
    </w:p>
    <w:p w14:paraId="3EBF2684">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6.2.2甲方有权审查被派遣人员的简历和资质，有权要求更换不适合的被派遣的人员</w:t>
      </w:r>
      <w:bookmarkEnd w:id="108"/>
      <w:bookmarkEnd w:id="109"/>
      <w:r>
        <w:rPr>
          <w:rFonts w:hint="eastAsia" w:ascii="宋体" w:hAnsi="宋体"/>
          <w:color w:val="FF0000"/>
          <w:highlight w:val="none"/>
        </w:rPr>
        <w:t>。</w:t>
      </w:r>
    </w:p>
    <w:p w14:paraId="27CD68A9">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6.2.3提供现场技术服务的日人工费用定额，并包含在设备总价中。</w:t>
      </w:r>
    </w:p>
    <w:p w14:paraId="7C1779C0">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6.2.4现场施工过程应对已存在设备、环境、辅助设施、工机具进行必要的防护，并做好施工安全隔离。</w:t>
      </w:r>
    </w:p>
    <w:p w14:paraId="39A57BC5">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6.2.5工作中设备及工器具的运输、搬卸等由乙方自行负责，甲方仅负责办理出入手续和指定存放地点；</w:t>
      </w:r>
    </w:p>
    <w:p w14:paraId="3E0B0A9E">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6.2.6甲方仅负责现场施工用电源点，项目施工人员生活居住、劳动防护用品、工机具及所涉及的其他所有必须条件均由乙方自行负责。</w:t>
      </w:r>
    </w:p>
    <w:p w14:paraId="1C1A6B55">
      <w:pPr>
        <w:pStyle w:val="17"/>
        <w:numPr>
          <w:ilvl w:val="0"/>
          <w:numId w:val="0"/>
        </w:numPr>
        <w:tabs>
          <w:tab w:val="clear" w:pos="1260"/>
        </w:tabs>
        <w:rPr>
          <w:rFonts w:hint="eastAsia" w:ascii="宋体" w:hAnsi="宋体"/>
          <w:color w:val="FF0000"/>
          <w:highlight w:val="none"/>
        </w:rPr>
      </w:pPr>
      <w:r>
        <w:rPr>
          <w:rFonts w:hint="eastAsia" w:ascii="宋体" w:hAnsi="宋体"/>
          <w:color w:val="FF0000"/>
          <w:highlight w:val="none"/>
        </w:rPr>
        <w:t>6.2.7因工作不当造成作业范围内保温、油漆和设备标志牌等设施的损坏，由投标方负责恢复，费用自理；若造成设备损坏或给招标方造成经济损失的,由投标方负责。</w:t>
      </w:r>
    </w:p>
    <w:p w14:paraId="046F76CE">
      <w:pPr>
        <w:pStyle w:val="16"/>
        <w:numPr>
          <w:ilvl w:val="0"/>
          <w:numId w:val="0"/>
        </w:numPr>
        <w:tabs>
          <w:tab w:val="clear" w:pos="1875"/>
        </w:tabs>
        <w:rPr>
          <w:rFonts w:hint="eastAsia" w:ascii="宋体"/>
        </w:rPr>
      </w:pPr>
      <w:r>
        <w:rPr>
          <w:rFonts w:hint="eastAsia" w:ascii="宋体"/>
        </w:rPr>
        <w:t>6.3 人员培训</w:t>
      </w:r>
    </w:p>
    <w:p w14:paraId="7F52E1CE">
      <w:pPr>
        <w:pStyle w:val="17"/>
        <w:numPr>
          <w:ilvl w:val="0"/>
          <w:numId w:val="0"/>
        </w:numPr>
        <w:tabs>
          <w:tab w:val="clear" w:pos="1260"/>
        </w:tabs>
        <w:rPr>
          <w:rFonts w:hint="eastAsia" w:ascii="宋体" w:hAnsi="宋体"/>
        </w:rPr>
      </w:pPr>
      <w:bookmarkStart w:id="110" w:name="OLE_LINK276"/>
      <w:bookmarkStart w:id="111" w:name="OLE_LINK275"/>
      <w:r>
        <w:rPr>
          <w:rFonts w:hint="eastAsia" w:ascii="宋体" w:hAnsi="宋体"/>
        </w:rPr>
        <w:t>6.3.1乙方应负责培训最终用户的技术人员以及运维人员。</w:t>
      </w:r>
    </w:p>
    <w:p w14:paraId="3D62FCE4">
      <w:pPr>
        <w:pStyle w:val="17"/>
        <w:numPr>
          <w:ilvl w:val="0"/>
          <w:numId w:val="0"/>
        </w:numPr>
        <w:tabs>
          <w:tab w:val="clear" w:pos="1260"/>
        </w:tabs>
        <w:rPr>
          <w:rFonts w:hint="eastAsia" w:ascii="宋体" w:hAnsi="宋体"/>
        </w:rPr>
      </w:pPr>
      <w:r>
        <w:rPr>
          <w:rFonts w:hint="eastAsia" w:ascii="宋体" w:hAnsi="宋体"/>
        </w:rPr>
        <w:t>6.3.2培训费用应提供单项价，并包含在设备总价中</w:t>
      </w:r>
      <w:bookmarkEnd w:id="110"/>
      <w:bookmarkEnd w:id="111"/>
      <w:r>
        <w:rPr>
          <w:rFonts w:hint="eastAsia" w:ascii="宋体" w:hAnsi="宋体"/>
        </w:rPr>
        <w:t>。</w:t>
      </w:r>
    </w:p>
    <w:p w14:paraId="41BA1805">
      <w:pPr>
        <w:pStyle w:val="16"/>
        <w:numPr>
          <w:ilvl w:val="0"/>
          <w:numId w:val="0"/>
        </w:numPr>
        <w:tabs>
          <w:tab w:val="clear" w:pos="1875"/>
        </w:tabs>
        <w:rPr>
          <w:rFonts w:hint="eastAsia" w:ascii="宋体"/>
        </w:rPr>
      </w:pPr>
      <w:r>
        <w:rPr>
          <w:rFonts w:hint="eastAsia" w:ascii="宋体"/>
        </w:rPr>
        <w:t>6.4.包装运输</w:t>
      </w:r>
    </w:p>
    <w:p w14:paraId="03812AF7">
      <w:pPr>
        <w:pStyle w:val="17"/>
        <w:numPr>
          <w:ilvl w:val="0"/>
          <w:numId w:val="0"/>
        </w:numPr>
        <w:tabs>
          <w:tab w:val="clear" w:pos="1260"/>
        </w:tabs>
        <w:rPr>
          <w:rFonts w:hint="eastAsia" w:ascii="宋体" w:hAnsi="宋体"/>
        </w:rPr>
      </w:pPr>
      <w:r>
        <w:rPr>
          <w:rFonts w:hint="eastAsia" w:ascii="宋体" w:hAnsi="宋体"/>
        </w:rPr>
        <w:t>6.4.1乙方应按技术协议以及合同中的规定进行包装和运输。</w:t>
      </w:r>
    </w:p>
    <w:p w14:paraId="421B9470">
      <w:pPr>
        <w:pStyle w:val="17"/>
        <w:numPr>
          <w:ilvl w:val="0"/>
          <w:numId w:val="0"/>
        </w:numPr>
        <w:tabs>
          <w:tab w:val="clear" w:pos="1260"/>
        </w:tabs>
        <w:rPr>
          <w:rFonts w:hint="eastAsia" w:ascii="宋体" w:hAnsi="宋体"/>
        </w:rPr>
      </w:pPr>
      <w:r>
        <w:rPr>
          <w:rFonts w:hint="eastAsia" w:ascii="宋体" w:hAnsi="宋体"/>
        </w:rPr>
        <w:t>6.4.2乙方必须采用专车运输至设备交付地（具体地点详见商务合同）。</w:t>
      </w:r>
    </w:p>
    <w:p w14:paraId="67DC547C">
      <w:pPr>
        <w:pStyle w:val="17"/>
        <w:numPr>
          <w:ilvl w:val="0"/>
          <w:numId w:val="0"/>
        </w:numPr>
        <w:tabs>
          <w:tab w:val="clear" w:pos="1260"/>
        </w:tabs>
        <w:rPr>
          <w:rFonts w:hint="eastAsia" w:ascii="宋体" w:hAnsi="宋体"/>
        </w:rPr>
      </w:pPr>
      <w:r>
        <w:rPr>
          <w:rFonts w:hint="eastAsia" w:ascii="宋体" w:hAnsi="宋体"/>
        </w:rPr>
        <w:t>6.4.3交付产品时应随运输车辆交付完整的装运清单和装箱单，甲方负责卸车。</w:t>
      </w:r>
    </w:p>
    <w:p w14:paraId="185AC841">
      <w:pPr>
        <w:pStyle w:val="16"/>
        <w:numPr>
          <w:ilvl w:val="0"/>
          <w:numId w:val="0"/>
        </w:numPr>
        <w:tabs>
          <w:tab w:val="clear" w:pos="1875"/>
        </w:tabs>
        <w:rPr>
          <w:rFonts w:hint="eastAsia" w:ascii="宋体"/>
        </w:rPr>
      </w:pPr>
      <w:r>
        <w:rPr>
          <w:rFonts w:hint="eastAsia" w:ascii="宋体"/>
        </w:rPr>
        <w:t>6.5 乙方其他工作</w:t>
      </w:r>
    </w:p>
    <w:p w14:paraId="613D1D21">
      <w:pPr>
        <w:pStyle w:val="17"/>
        <w:numPr>
          <w:ilvl w:val="0"/>
          <w:numId w:val="0"/>
        </w:numPr>
        <w:tabs>
          <w:tab w:val="clear" w:pos="1260"/>
        </w:tabs>
        <w:rPr>
          <w:rFonts w:hint="eastAsia" w:ascii="宋体" w:hAnsi="宋体"/>
        </w:rPr>
      </w:pPr>
      <w:r>
        <w:rPr>
          <w:rFonts w:hint="eastAsia" w:ascii="宋体" w:hAnsi="宋体"/>
        </w:rPr>
        <w:t>6.5.1设备的检验及试验，外购设备及材料的复验。</w:t>
      </w:r>
    </w:p>
    <w:p w14:paraId="0871D60B">
      <w:pPr>
        <w:pStyle w:val="17"/>
        <w:numPr>
          <w:ilvl w:val="0"/>
          <w:numId w:val="0"/>
        </w:numPr>
        <w:tabs>
          <w:tab w:val="clear" w:pos="1260"/>
        </w:tabs>
        <w:rPr>
          <w:rFonts w:hint="eastAsia" w:ascii="宋体" w:hAnsi="宋体"/>
        </w:rPr>
      </w:pPr>
      <w:r>
        <w:rPr>
          <w:rFonts w:hint="eastAsia" w:ascii="宋体" w:hAnsi="宋体"/>
        </w:rPr>
        <w:t>6.5.2工作范围内的设备制造管理，分包商的选定，包括出自甲方批准的供货商清单中的分包商，并确定分包商的工作范围。</w:t>
      </w:r>
    </w:p>
    <w:p w14:paraId="6F6375C9">
      <w:pPr>
        <w:pStyle w:val="17"/>
        <w:numPr>
          <w:ilvl w:val="0"/>
          <w:numId w:val="0"/>
        </w:numPr>
        <w:tabs>
          <w:tab w:val="clear" w:pos="1260"/>
        </w:tabs>
        <w:rPr>
          <w:rFonts w:hint="eastAsia" w:ascii="宋体" w:hAnsi="宋体"/>
        </w:rPr>
      </w:pPr>
      <w:r>
        <w:rPr>
          <w:rFonts w:hint="eastAsia" w:ascii="宋体" w:hAnsi="宋体"/>
        </w:rPr>
        <w:t>6.5.3乙方必须对其与分包商间在设计、制造及供货等交界面的管理，并对各个阶段的工作保持紧密有效的协调负全部责任。</w:t>
      </w:r>
    </w:p>
    <w:p w14:paraId="0221DA3E">
      <w:pPr>
        <w:pStyle w:val="17"/>
        <w:numPr>
          <w:ilvl w:val="0"/>
          <w:numId w:val="0"/>
        </w:numPr>
        <w:tabs>
          <w:tab w:val="clear" w:pos="1260"/>
        </w:tabs>
        <w:rPr>
          <w:rFonts w:hint="eastAsia" w:ascii="宋体" w:hAnsi="宋体"/>
        </w:rPr>
      </w:pPr>
      <w:r>
        <w:rPr>
          <w:rFonts w:hint="eastAsia" w:ascii="宋体" w:hAnsi="宋体"/>
        </w:rPr>
        <w:t>6.5.4提供检验部门要求的所有相关的工作和文件，乙方应负责表计的校对。</w:t>
      </w:r>
    </w:p>
    <w:p w14:paraId="0F7B5E41">
      <w:pPr>
        <w:pStyle w:val="17"/>
        <w:numPr>
          <w:ilvl w:val="0"/>
          <w:numId w:val="0"/>
        </w:numPr>
        <w:tabs>
          <w:tab w:val="clear" w:pos="1260"/>
        </w:tabs>
        <w:rPr>
          <w:rFonts w:hint="eastAsia" w:ascii="宋体" w:hAnsi="宋体"/>
        </w:rPr>
      </w:pPr>
      <w:r>
        <w:rPr>
          <w:rFonts w:hint="eastAsia" w:ascii="宋体" w:hAnsi="宋体"/>
        </w:rPr>
        <w:t>6.5.5与甲方讨论并完成安装布置图，并提供最终图纸及其可编辑的电子文件，协助甲方完成现场工作。</w:t>
      </w:r>
    </w:p>
    <w:p w14:paraId="78E7167F">
      <w:pPr>
        <w:pStyle w:val="18"/>
        <w:numPr>
          <w:ilvl w:val="0"/>
          <w:numId w:val="0"/>
        </w:numPr>
        <w:tabs>
          <w:tab w:val="clear" w:pos="1875"/>
        </w:tabs>
        <w:rPr>
          <w:rFonts w:hint="eastAsia" w:ascii="宋体"/>
          <w:smallCaps w:val="0"/>
        </w:rPr>
      </w:pPr>
      <w:r>
        <w:rPr>
          <w:rFonts w:hint="eastAsia" w:ascii="宋体"/>
          <w:smallCaps w:val="0"/>
        </w:rPr>
        <w:t>6.6 甲方工作范围</w:t>
      </w:r>
    </w:p>
    <w:p w14:paraId="0D9AA5E6">
      <w:pPr>
        <w:pStyle w:val="17"/>
        <w:numPr>
          <w:ilvl w:val="0"/>
          <w:numId w:val="0"/>
        </w:numPr>
        <w:tabs>
          <w:tab w:val="clear" w:pos="1260"/>
        </w:tabs>
        <w:rPr>
          <w:rFonts w:hint="eastAsia" w:ascii="宋体" w:hAnsi="宋体"/>
        </w:rPr>
      </w:pPr>
      <w:r>
        <w:rPr>
          <w:rFonts w:hint="eastAsia" w:ascii="宋体" w:hAnsi="宋体"/>
        </w:rPr>
        <w:t>6.6.1负责组织对到货设备的检验验收，并提前一周通知乙方参加现场开箱检验。</w:t>
      </w:r>
    </w:p>
    <w:p w14:paraId="5E358180">
      <w:pPr>
        <w:pStyle w:val="17"/>
        <w:numPr>
          <w:ilvl w:val="0"/>
          <w:numId w:val="0"/>
        </w:numPr>
        <w:tabs>
          <w:tab w:val="clear" w:pos="1260"/>
        </w:tabs>
        <w:rPr>
          <w:rFonts w:hint="eastAsia" w:ascii="宋体" w:hAnsi="宋体"/>
        </w:rPr>
      </w:pPr>
      <w:r>
        <w:rPr>
          <w:rFonts w:hint="eastAsia" w:ascii="宋体" w:hAnsi="宋体"/>
        </w:rPr>
        <w:t>6.6.2负责向乙方提供设计基础数据。</w:t>
      </w:r>
    </w:p>
    <w:p w14:paraId="1F88058E">
      <w:pPr>
        <w:pStyle w:val="17"/>
        <w:numPr>
          <w:ilvl w:val="0"/>
          <w:numId w:val="0"/>
        </w:numPr>
        <w:tabs>
          <w:tab w:val="clear" w:pos="1260"/>
        </w:tabs>
      </w:pPr>
      <w:r>
        <w:rPr>
          <w:rFonts w:hint="eastAsia" w:ascii="宋体" w:hAnsi="宋体"/>
        </w:rPr>
        <w:t>6.6.3负责对乙方的图纸文</w:t>
      </w:r>
      <w:r>
        <w:rPr>
          <w:rFonts w:hint="eastAsia"/>
        </w:rPr>
        <w:t>件资料及执行的标准规范进行审查。</w:t>
      </w:r>
    </w:p>
    <w:p w14:paraId="7E3118FF">
      <w:pPr>
        <w:pStyle w:val="2"/>
        <w:spacing w:before="0" w:after="0" w:line="360" w:lineRule="auto"/>
        <w:rPr>
          <w:rFonts w:hint="eastAsia" w:ascii="宋体" w:hAnsi="宋体" w:cs="宋体"/>
          <w:sz w:val="28"/>
          <w:szCs w:val="28"/>
        </w:rPr>
      </w:pPr>
      <w:bookmarkStart w:id="112" w:name="_Toc205546295"/>
      <w:r>
        <w:rPr>
          <w:rFonts w:hint="eastAsia" w:ascii="宋体" w:hAnsi="宋体" w:cs="宋体"/>
          <w:sz w:val="28"/>
          <w:szCs w:val="28"/>
        </w:rPr>
        <w:t>7、验收与试验</w:t>
      </w:r>
      <w:bookmarkEnd w:id="112"/>
    </w:p>
    <w:p w14:paraId="351125F5">
      <w:pPr>
        <w:pStyle w:val="17"/>
        <w:numPr>
          <w:ilvl w:val="0"/>
          <w:numId w:val="0"/>
        </w:numPr>
        <w:tabs>
          <w:tab w:val="clear" w:pos="1260"/>
        </w:tabs>
        <w:rPr>
          <w:rFonts w:hint="eastAsia" w:ascii="宋体" w:hAnsi="宋体"/>
        </w:rPr>
      </w:pPr>
      <w:bookmarkStart w:id="113" w:name="_Toc24349"/>
      <w:r>
        <w:rPr>
          <w:rFonts w:hint="eastAsia" w:ascii="宋体" w:hAnsi="宋体"/>
        </w:rPr>
        <w:t>7.1 到货验收</w:t>
      </w:r>
      <w:bookmarkEnd w:id="113"/>
    </w:p>
    <w:p w14:paraId="36479026">
      <w:pPr>
        <w:pStyle w:val="17"/>
        <w:numPr>
          <w:ilvl w:val="0"/>
          <w:numId w:val="0"/>
        </w:numPr>
        <w:tabs>
          <w:tab w:val="clear" w:pos="1260"/>
        </w:tabs>
        <w:ind w:firstLine="480" w:firstLineChars="200"/>
        <w:rPr>
          <w:rFonts w:hint="eastAsia" w:ascii="宋体" w:hAnsi="宋体"/>
        </w:rPr>
      </w:pPr>
      <w:r>
        <w:rPr>
          <w:rFonts w:hint="eastAsia" w:ascii="宋体" w:hAnsi="宋体"/>
        </w:rPr>
        <w:t>货物到达甲方现场后，甲方对产品进行检查，如果存在数量或/和运输损坏或/和型号技术规格或/和包装或/和标识不符合合同规定相关事件，甲方有权向乙方要求更换或索赔。</w:t>
      </w:r>
    </w:p>
    <w:p w14:paraId="6095CFCF">
      <w:pPr>
        <w:pStyle w:val="17"/>
        <w:numPr>
          <w:ilvl w:val="0"/>
          <w:numId w:val="0"/>
        </w:numPr>
        <w:tabs>
          <w:tab w:val="clear" w:pos="1260"/>
        </w:tabs>
        <w:rPr>
          <w:rFonts w:hint="eastAsia" w:ascii="宋体" w:hAnsi="宋体"/>
        </w:rPr>
      </w:pPr>
      <w:bookmarkStart w:id="114" w:name="_Toc16735"/>
      <w:r>
        <w:rPr>
          <w:rFonts w:hint="eastAsia" w:ascii="宋体" w:hAnsi="宋体"/>
        </w:rPr>
        <w:t>7.2 功能验收</w:t>
      </w:r>
      <w:bookmarkEnd w:id="114"/>
    </w:p>
    <w:p w14:paraId="14D49E5A">
      <w:pPr>
        <w:pStyle w:val="17"/>
        <w:numPr>
          <w:ilvl w:val="0"/>
          <w:numId w:val="0"/>
        </w:numPr>
        <w:tabs>
          <w:tab w:val="clear" w:pos="1260"/>
        </w:tabs>
        <w:rPr>
          <w:rFonts w:hint="eastAsia" w:ascii="宋体" w:hAnsi="宋体"/>
        </w:rPr>
      </w:pPr>
      <w:r>
        <w:rPr>
          <w:rFonts w:hint="eastAsia" w:ascii="宋体" w:hAnsi="宋体"/>
        </w:rPr>
        <w:t>1）验收条件：</w:t>
      </w:r>
    </w:p>
    <w:p w14:paraId="3551A9E7">
      <w:pPr>
        <w:pStyle w:val="17"/>
        <w:numPr>
          <w:ilvl w:val="0"/>
          <w:numId w:val="0"/>
        </w:numPr>
        <w:tabs>
          <w:tab w:val="clear" w:pos="1260"/>
        </w:tabs>
        <w:ind w:firstLine="480" w:firstLineChars="200"/>
        <w:rPr>
          <w:rFonts w:hint="eastAsia" w:ascii="宋体" w:hAnsi="宋体"/>
        </w:rPr>
      </w:pPr>
      <w:r>
        <w:rPr>
          <w:rFonts w:hint="eastAsia" w:ascii="宋体" w:hAnsi="宋体"/>
        </w:rPr>
        <w:t>在装置安装完成、调试等工作之后，在预期的第一次测试日期一周前向甲方提交一份测试与验收计划，包含完整的产品清单和验收内容，待批准后执行。</w:t>
      </w:r>
    </w:p>
    <w:p w14:paraId="1FFC57A0">
      <w:pPr>
        <w:pStyle w:val="17"/>
        <w:numPr>
          <w:ilvl w:val="0"/>
          <w:numId w:val="0"/>
        </w:numPr>
        <w:tabs>
          <w:tab w:val="clear" w:pos="1260"/>
        </w:tabs>
        <w:rPr>
          <w:rFonts w:hint="eastAsia" w:ascii="宋体" w:hAnsi="宋体"/>
        </w:rPr>
      </w:pPr>
      <w:r>
        <w:rPr>
          <w:rFonts w:hint="eastAsia" w:ascii="宋体" w:hAnsi="宋体"/>
        </w:rPr>
        <w:t>2）验收方式：</w:t>
      </w:r>
    </w:p>
    <w:p w14:paraId="7F3AC5FE">
      <w:pPr>
        <w:pStyle w:val="17"/>
        <w:numPr>
          <w:ilvl w:val="0"/>
          <w:numId w:val="0"/>
        </w:numPr>
        <w:tabs>
          <w:tab w:val="clear" w:pos="1260"/>
        </w:tabs>
        <w:ind w:firstLine="480" w:firstLineChars="200"/>
        <w:rPr>
          <w:rFonts w:hint="eastAsia" w:ascii="宋体" w:hAnsi="宋体"/>
        </w:rPr>
      </w:pPr>
      <w:r>
        <w:rPr>
          <w:rFonts w:hint="eastAsia" w:ascii="宋体" w:hAnsi="宋体"/>
        </w:rPr>
        <w:t xml:space="preserve">根据测试与验收计划，检查产品是否正常工作。投入运行正常后应进行验收签字。 </w:t>
      </w:r>
    </w:p>
    <w:p w14:paraId="39BE06DC">
      <w:pPr>
        <w:pStyle w:val="17"/>
        <w:numPr>
          <w:ilvl w:val="0"/>
          <w:numId w:val="0"/>
        </w:numPr>
        <w:tabs>
          <w:tab w:val="clear" w:pos="1260"/>
        </w:tabs>
        <w:rPr>
          <w:rFonts w:hint="eastAsia" w:ascii="宋体" w:hAnsi="宋体"/>
        </w:rPr>
      </w:pPr>
      <w:r>
        <w:rPr>
          <w:rFonts w:hint="eastAsia" w:ascii="宋体" w:hAnsi="宋体"/>
        </w:rPr>
        <w:t>3）验收标准：</w:t>
      </w:r>
    </w:p>
    <w:p w14:paraId="21D70AC3">
      <w:pPr>
        <w:pStyle w:val="17"/>
        <w:numPr>
          <w:ilvl w:val="0"/>
          <w:numId w:val="0"/>
        </w:numPr>
        <w:tabs>
          <w:tab w:val="clear" w:pos="1260"/>
        </w:tabs>
        <w:ind w:firstLine="480" w:firstLineChars="200"/>
        <w:rPr>
          <w:rFonts w:hint="eastAsia" w:ascii="宋体" w:hAnsi="宋体"/>
        </w:rPr>
      </w:pPr>
      <w:r>
        <w:rPr>
          <w:rFonts w:hint="eastAsia" w:ascii="宋体" w:hAnsi="宋体"/>
        </w:rPr>
        <w:t>甲乙双方共同进行最终的系统现场验收测试，乙方所提供的产品无误、无漏，所有产品正常工作，测取数据精准。</w:t>
      </w:r>
    </w:p>
    <w:p w14:paraId="6D3E92F7">
      <w:pPr>
        <w:pStyle w:val="17"/>
        <w:numPr>
          <w:ilvl w:val="0"/>
          <w:numId w:val="2"/>
        </w:numPr>
        <w:tabs>
          <w:tab w:val="clear" w:pos="1260"/>
        </w:tabs>
        <w:rPr>
          <w:rFonts w:hint="eastAsia" w:ascii="宋体" w:hAnsi="宋体"/>
        </w:rPr>
      </w:pPr>
      <w:r>
        <w:rPr>
          <w:rFonts w:hint="eastAsia" w:ascii="宋体" w:hAnsi="宋体"/>
        </w:rPr>
        <w:t>通过设备发货清单，核对所发货物的数量和型号是否与实际发货清单一致。</w:t>
      </w:r>
    </w:p>
    <w:p w14:paraId="4F119E0D">
      <w:pPr>
        <w:pStyle w:val="17"/>
        <w:numPr>
          <w:ilvl w:val="0"/>
          <w:numId w:val="2"/>
        </w:numPr>
        <w:tabs>
          <w:tab w:val="clear" w:pos="1260"/>
        </w:tabs>
        <w:rPr>
          <w:rFonts w:hint="eastAsia" w:ascii="宋体" w:hAnsi="宋体"/>
        </w:rPr>
      </w:pPr>
      <w:r>
        <w:rPr>
          <w:rFonts w:hint="eastAsia" w:ascii="宋体" w:hAnsi="宋体"/>
        </w:rPr>
        <w:t>系统正常工作，传感器工作正常，采集器工作状态正常。</w:t>
      </w:r>
    </w:p>
    <w:p w14:paraId="6F91FA35">
      <w:pPr>
        <w:pStyle w:val="17"/>
        <w:numPr>
          <w:ilvl w:val="0"/>
          <w:numId w:val="2"/>
        </w:numPr>
        <w:tabs>
          <w:tab w:val="clear" w:pos="1260"/>
        </w:tabs>
        <w:outlineLvl w:val="9"/>
        <w:rPr>
          <w:rFonts w:hint="eastAsia" w:ascii="宋体" w:hAnsi="宋体"/>
        </w:rPr>
      </w:pPr>
      <w:r>
        <w:rPr>
          <w:rFonts w:hint="eastAsia" w:ascii="宋体" w:hAnsi="宋体"/>
        </w:rPr>
        <w:t>通讯站工作正常，系统按照既定的策略采集、回传数据正常，通过软件读取上传的数据判定。</w:t>
      </w:r>
    </w:p>
    <w:p w14:paraId="48E7A8FD">
      <w:pPr>
        <w:pStyle w:val="17"/>
        <w:numPr>
          <w:ilvl w:val="0"/>
          <w:numId w:val="2"/>
        </w:numPr>
        <w:tabs>
          <w:tab w:val="clear" w:pos="1260"/>
        </w:tabs>
        <w:outlineLvl w:val="9"/>
        <w:rPr>
          <w:rFonts w:hint="eastAsia" w:ascii="宋体" w:hAnsi="宋体"/>
        </w:rPr>
      </w:pPr>
      <w:r>
        <w:rPr>
          <w:rFonts w:hint="eastAsia" w:ascii="宋体" w:hAnsi="宋体"/>
        </w:rPr>
        <w:t>网络通讯正常，运行稳定，通过PING包测试时丢包率不大于1%。</w:t>
      </w:r>
    </w:p>
    <w:p w14:paraId="63038C2A">
      <w:pPr>
        <w:pStyle w:val="17"/>
        <w:numPr>
          <w:ilvl w:val="0"/>
          <w:numId w:val="2"/>
        </w:numPr>
        <w:tabs>
          <w:tab w:val="clear" w:pos="1260"/>
        </w:tabs>
        <w:outlineLvl w:val="9"/>
        <w:rPr>
          <w:rFonts w:hint="eastAsia" w:ascii="宋体" w:hAnsi="宋体"/>
          <w:b/>
          <w:bCs/>
          <w:color w:val="FF0000"/>
          <w:highlight w:val="none"/>
        </w:rPr>
      </w:pPr>
      <w:r>
        <w:rPr>
          <w:rFonts w:hint="eastAsia" w:ascii="宋体" w:hAnsi="宋体"/>
          <w:b/>
          <w:bCs/>
          <w:color w:val="FF0000"/>
          <w:highlight w:val="none"/>
        </w:rPr>
        <w:t>验收时供货方必须进行现场对应的局放模拟试验（沿面局放、悬浮局放、空穴局放、尖端局放、现场干扰局放等），试验目标包括局放监测效果、传感器灵敏度以及局部放电模式识别的正确性等，模拟设备及试验标准必须按照DL/T417-2019《电力设备局部放电现场测量导则》执行，报价时报价单位需提供产品组成介绍、使用说明书、试验大纲给予采购方确认。</w:t>
      </w:r>
    </w:p>
    <w:p w14:paraId="1795F4AC">
      <w:pPr>
        <w:pStyle w:val="17"/>
        <w:numPr>
          <w:ilvl w:val="0"/>
          <w:numId w:val="2"/>
        </w:numPr>
        <w:tabs>
          <w:tab w:val="clear" w:pos="1260"/>
        </w:tabs>
        <w:outlineLvl w:val="9"/>
        <w:rPr>
          <w:rFonts w:hint="eastAsia" w:ascii="宋体" w:hAnsi="宋体"/>
        </w:rPr>
      </w:pPr>
      <w:r>
        <w:rPr>
          <w:rFonts w:hint="eastAsia" w:ascii="宋体" w:hAnsi="宋体"/>
        </w:rPr>
        <w:t>所提供的产品必须经过平均无故障时间MTBF测试，投标时提供对应的测试报告。</w:t>
      </w:r>
    </w:p>
    <w:p w14:paraId="51E26F30">
      <w:pPr>
        <w:pStyle w:val="17"/>
        <w:numPr>
          <w:ilvl w:val="0"/>
          <w:numId w:val="2"/>
        </w:numPr>
        <w:tabs>
          <w:tab w:val="clear" w:pos="1260"/>
        </w:tabs>
        <w:outlineLvl w:val="9"/>
        <w:rPr>
          <w:rFonts w:hint="eastAsia" w:ascii="宋体" w:hAnsi="宋体"/>
        </w:rPr>
      </w:pPr>
      <w:bookmarkStart w:id="115" w:name="_Toc28673"/>
      <w:r>
        <w:rPr>
          <w:rFonts w:hint="eastAsia" w:ascii="宋体" w:hAnsi="宋体"/>
        </w:rPr>
        <w:t>局部放电预警系统应具有实时监测预警</w:t>
      </w:r>
      <w:bookmarkEnd w:id="115"/>
      <w:r>
        <w:rPr>
          <w:rFonts w:hint="eastAsia" w:ascii="宋体" w:hAnsi="宋体"/>
        </w:rPr>
        <w:t>、报警输出功能，可以根据需要自行设定预警、报警监测值，可按照时间或线路对告警信息进行查询，包括告警终端的注册编号、ID号、局放、告警状态。</w:t>
      </w:r>
    </w:p>
    <w:p w14:paraId="0883D6A3">
      <w:pPr>
        <w:pStyle w:val="17"/>
        <w:numPr>
          <w:ilvl w:val="0"/>
          <w:numId w:val="2"/>
        </w:numPr>
        <w:tabs>
          <w:tab w:val="clear" w:pos="1260"/>
        </w:tabs>
        <w:outlineLvl w:val="9"/>
        <w:rPr>
          <w:rFonts w:hint="eastAsia" w:ascii="宋体" w:hAnsi="宋体"/>
        </w:rPr>
      </w:pPr>
      <w:r>
        <w:rPr>
          <w:rFonts w:hint="eastAsia" w:ascii="宋体" w:hAnsi="宋体"/>
        </w:rPr>
        <w:t>系统应具有数据保存、数据输出、数据显示功能，可进行数据导出，信息存储容量满足现场需要，必要时应提供容量扩展功能。</w:t>
      </w:r>
    </w:p>
    <w:p w14:paraId="5931FB30">
      <w:pPr>
        <w:pStyle w:val="17"/>
        <w:numPr>
          <w:ilvl w:val="0"/>
          <w:numId w:val="2"/>
        </w:numPr>
        <w:tabs>
          <w:tab w:val="clear" w:pos="1260"/>
        </w:tabs>
        <w:outlineLvl w:val="9"/>
        <w:rPr>
          <w:rFonts w:hint="eastAsia" w:ascii="宋体" w:hAnsi="宋体"/>
        </w:rPr>
      </w:pPr>
      <w:bookmarkStart w:id="116" w:name="_Toc816"/>
      <w:r>
        <w:rPr>
          <w:rFonts w:hint="eastAsia" w:ascii="宋体" w:hAnsi="宋体"/>
        </w:rPr>
        <w:t>系统应具有通信接口，其通讯方式的抗干扰性，应满足GB/T 17626、GB/T 14598等规程要求。</w:t>
      </w:r>
      <w:bookmarkEnd w:id="116"/>
    </w:p>
    <w:p w14:paraId="01638CB3">
      <w:pPr>
        <w:pStyle w:val="17"/>
        <w:numPr>
          <w:ilvl w:val="0"/>
          <w:numId w:val="2"/>
        </w:numPr>
        <w:tabs>
          <w:tab w:val="clear" w:pos="1260"/>
        </w:tabs>
        <w:outlineLvl w:val="9"/>
        <w:rPr>
          <w:rFonts w:hint="eastAsia" w:ascii="宋体" w:hAnsi="宋体"/>
          <w:color w:val="000000" w:themeColor="text1"/>
          <w14:textFill>
            <w14:solidFill>
              <w14:schemeClr w14:val="tx1"/>
            </w14:solidFill>
          </w14:textFill>
        </w:rPr>
      </w:pPr>
      <w:r>
        <w:rPr>
          <w:rFonts w:hint="eastAsia" w:ascii="宋体" w:hAnsi="宋体"/>
        </w:rPr>
        <w:t>系统中各组成部分应采用阻燃、防腐、防潮等设计。壳体设计应保证在额定的使用条件下不产生任何危险，材料应由抗老化、抗变形、抗腐蚀、防紫外线的阻燃、耐高温、环保绝缘体材料组成</w:t>
      </w:r>
      <w:r>
        <w:rPr>
          <w:rFonts w:hint="eastAsia" w:ascii="宋体" w:hAnsi="宋体"/>
          <w:color w:val="FF0000"/>
          <w:highlight w:val="none"/>
        </w:rPr>
        <w:t>，</w:t>
      </w:r>
      <w:r>
        <w:rPr>
          <w:rFonts w:hint="eastAsia" w:ascii="宋体" w:hAnsi="宋体"/>
          <w:b/>
          <w:bCs/>
          <w:color w:val="FF0000"/>
          <w:highlight w:val="none"/>
        </w:rPr>
        <w:t>投标时需提供第三方有国家中心资质权威检测机构检测的盐雾试验报告。</w:t>
      </w:r>
    </w:p>
    <w:p w14:paraId="61960B92">
      <w:pPr>
        <w:pStyle w:val="17"/>
        <w:numPr>
          <w:ilvl w:val="0"/>
          <w:numId w:val="2"/>
        </w:numPr>
        <w:tabs>
          <w:tab w:val="clear" w:pos="1260"/>
        </w:tabs>
        <w:outlineLvl w:val="9"/>
        <w:rPr>
          <w:rFonts w:hint="eastAsia" w:ascii="宋体" w:hAnsi="宋体"/>
        </w:rPr>
      </w:pPr>
      <w:r>
        <w:rPr>
          <w:rFonts w:hint="eastAsia" w:ascii="宋体" w:hAnsi="宋体"/>
        </w:rPr>
        <w:t>系统的高、低温试验、老化性能等应满足GB/T2423的规定。</w:t>
      </w:r>
    </w:p>
    <w:p w14:paraId="22199D0A">
      <w:pPr>
        <w:pStyle w:val="17"/>
        <w:numPr>
          <w:ilvl w:val="0"/>
          <w:numId w:val="2"/>
        </w:numPr>
        <w:tabs>
          <w:tab w:val="clear" w:pos="1260"/>
        </w:tabs>
        <w:outlineLvl w:val="9"/>
        <w:rPr>
          <w:rFonts w:hint="eastAsia" w:ascii="宋体" w:hAnsi="宋体"/>
        </w:rPr>
      </w:pPr>
      <w:r>
        <w:rPr>
          <w:rFonts w:hint="eastAsia" w:ascii="宋体" w:hAnsi="宋体"/>
        </w:rPr>
        <w:t>系统适用高压开关柜内所有一次电气元件、母排、电缆头等设备绝缘状态的监测。</w:t>
      </w:r>
    </w:p>
    <w:p w14:paraId="25EFE4E3">
      <w:pPr>
        <w:pStyle w:val="17"/>
        <w:numPr>
          <w:ilvl w:val="0"/>
          <w:numId w:val="2"/>
        </w:numPr>
        <w:tabs>
          <w:tab w:val="clear" w:pos="1260"/>
        </w:tabs>
        <w:outlineLvl w:val="9"/>
        <w:rPr>
          <w:rFonts w:hint="eastAsia" w:ascii="宋体" w:hAnsi="宋体"/>
        </w:rPr>
      </w:pPr>
      <w:r>
        <w:rPr>
          <w:rFonts w:ascii="宋体" w:hAnsi="宋体"/>
        </w:rPr>
        <w:t>提供设备改造过程中形成的试验、原始记录、各个阶段的验收、检验、试验记录和报告。</w:t>
      </w:r>
    </w:p>
    <w:p w14:paraId="05546205">
      <w:pPr>
        <w:pStyle w:val="17"/>
        <w:numPr>
          <w:ilvl w:val="0"/>
          <w:numId w:val="2"/>
        </w:numPr>
        <w:tabs>
          <w:tab w:val="clear" w:pos="1260"/>
        </w:tabs>
        <w:outlineLvl w:val="9"/>
        <w:rPr>
          <w:rFonts w:hint="eastAsia" w:ascii="宋体" w:hAnsi="宋体"/>
        </w:rPr>
      </w:pPr>
      <w:r>
        <w:rPr>
          <w:rFonts w:ascii="宋体" w:hAnsi="宋体"/>
        </w:rPr>
        <w:t>提供产品出厂试验报告单与合格证；提供产品所需外购材料、配件相应质量证明及合格证书；提供产品过程检验、检测记录。提供产品的安装及运行维护手册。</w:t>
      </w:r>
    </w:p>
    <w:p w14:paraId="390ECCE9">
      <w:pPr>
        <w:pStyle w:val="2"/>
        <w:spacing w:before="0" w:after="0" w:line="360" w:lineRule="auto"/>
        <w:rPr>
          <w:rFonts w:hint="eastAsia" w:ascii="宋体" w:hAnsi="宋体" w:cs="宋体"/>
          <w:sz w:val="28"/>
          <w:szCs w:val="28"/>
        </w:rPr>
      </w:pPr>
      <w:bookmarkStart w:id="117" w:name="_Toc205546296"/>
      <w:r>
        <w:rPr>
          <w:rFonts w:hint="eastAsia" w:ascii="宋体" w:hAnsi="宋体" w:cs="宋体"/>
          <w:sz w:val="28"/>
          <w:szCs w:val="28"/>
        </w:rPr>
        <w:t>8、产品保证</w:t>
      </w:r>
      <w:bookmarkEnd w:id="117"/>
    </w:p>
    <w:p w14:paraId="04185BB5">
      <w:pPr>
        <w:spacing w:line="360" w:lineRule="auto"/>
        <w:rPr>
          <w:rFonts w:hint="eastAsia" w:ascii="宋体" w:hAnsi="宋体" w:cs="仿宋"/>
          <w:color w:val="000000"/>
          <w:sz w:val="24"/>
        </w:rPr>
      </w:pPr>
      <w:bookmarkStart w:id="118" w:name="_Toc196798617"/>
      <w:r>
        <w:rPr>
          <w:rFonts w:hint="eastAsia" w:ascii="宋体" w:hAnsi="宋体" w:cs="仿宋"/>
          <w:color w:val="000000"/>
          <w:sz w:val="24"/>
        </w:rPr>
        <w:t>8.1 乙方提供的设备性能应满足本技术规范书的技术要求和相关标准要求。</w:t>
      </w:r>
    </w:p>
    <w:p w14:paraId="46F9AD03">
      <w:pPr>
        <w:spacing w:line="360" w:lineRule="auto"/>
        <w:rPr>
          <w:rFonts w:hint="eastAsia" w:ascii="宋体" w:hAnsi="宋体" w:cs="仿宋"/>
          <w:color w:val="000000"/>
          <w:sz w:val="24"/>
        </w:rPr>
      </w:pPr>
      <w:r>
        <w:rPr>
          <w:rFonts w:hint="eastAsia" w:ascii="宋体" w:hAnsi="宋体" w:cs="仿宋"/>
          <w:color w:val="000000"/>
          <w:sz w:val="24"/>
        </w:rPr>
        <w:t>8.2 在设备质保期内，因设备质量问题而造成的设备损坏或不能正常使用时，乙方应无偿修理或更换，并将设备的质保期延长，延长时间为设备重新投运后12个月。否则严格履行赔偿责任。</w:t>
      </w:r>
    </w:p>
    <w:bookmarkEnd w:id="118"/>
    <w:p w14:paraId="0930BE94">
      <w:pPr>
        <w:spacing w:line="360" w:lineRule="auto"/>
        <w:rPr>
          <w:rFonts w:hint="eastAsia" w:ascii="宋体" w:hAnsi="宋体" w:cs="仿宋"/>
          <w:color w:val="000000"/>
          <w:sz w:val="24"/>
        </w:rPr>
      </w:pPr>
      <w:r>
        <w:rPr>
          <w:rFonts w:hint="eastAsia" w:ascii="宋体" w:hAnsi="宋体" w:cs="仿宋"/>
          <w:color w:val="000000"/>
          <w:sz w:val="24"/>
        </w:rPr>
        <w:t>8.3 性能验收试验的目的为了检验合同设备的所有性能是否符合关规程、规范和标准的要求。</w:t>
      </w:r>
    </w:p>
    <w:p w14:paraId="25DA2BBC">
      <w:pPr>
        <w:spacing w:line="360" w:lineRule="auto"/>
        <w:rPr>
          <w:rFonts w:hint="eastAsia" w:ascii="宋体" w:hAnsi="宋体" w:cs="仿宋"/>
          <w:color w:val="000000"/>
          <w:sz w:val="24"/>
        </w:rPr>
      </w:pPr>
      <w:r>
        <w:rPr>
          <w:rFonts w:hint="eastAsia" w:ascii="宋体" w:hAnsi="宋体" w:cs="仿宋"/>
          <w:color w:val="000000"/>
          <w:sz w:val="24"/>
        </w:rPr>
        <w:t>8.4 性能验收试验的时间在系统试运后1个月内进行，具体试验时间由甲乙双方协商确定。</w:t>
      </w:r>
    </w:p>
    <w:p w14:paraId="24E6394C">
      <w:pPr>
        <w:spacing w:line="360" w:lineRule="auto"/>
        <w:rPr>
          <w:rFonts w:hint="eastAsia" w:ascii="宋体" w:hAnsi="宋体" w:cs="仿宋"/>
          <w:color w:val="000000"/>
          <w:sz w:val="24"/>
        </w:rPr>
      </w:pPr>
      <w:r>
        <w:rPr>
          <w:rFonts w:hint="eastAsia" w:ascii="宋体" w:hAnsi="宋体" w:cs="仿宋"/>
          <w:color w:val="000000"/>
          <w:sz w:val="24"/>
        </w:rPr>
        <w:t>8.5 性能验收试验的内容级标准按照本技术规范书要求。</w:t>
      </w:r>
    </w:p>
    <w:p w14:paraId="710B1E4F">
      <w:pPr>
        <w:spacing w:line="360" w:lineRule="auto"/>
        <w:rPr>
          <w:rFonts w:hint="eastAsia" w:ascii="宋体" w:hAnsi="宋体" w:cs="仿宋"/>
          <w:color w:val="000000"/>
          <w:sz w:val="24"/>
        </w:rPr>
      </w:pPr>
      <w:r>
        <w:rPr>
          <w:rFonts w:hint="eastAsia" w:ascii="宋体" w:hAnsi="宋体" w:cs="仿宋"/>
          <w:color w:val="000000"/>
          <w:sz w:val="24"/>
        </w:rPr>
        <w:t>8.6 进行性能验收试验时，一方接到另一方试验通知而不派人参加试验，则被视为对验收试验结果的同意。</w:t>
      </w:r>
    </w:p>
    <w:p w14:paraId="032BA454">
      <w:pPr>
        <w:pStyle w:val="4"/>
        <w:adjustRightInd w:val="0"/>
        <w:spacing w:after="0" w:line="360" w:lineRule="auto"/>
        <w:textAlignment w:val="baseline"/>
        <w:rPr>
          <w:rFonts w:hint="eastAsia" w:ascii="宋体" w:hAnsi="宋体" w:cs="宋体"/>
          <w:bCs/>
          <w:sz w:val="24"/>
        </w:rPr>
      </w:pPr>
      <w:r>
        <w:rPr>
          <w:rFonts w:hint="eastAsia" w:ascii="宋体" w:hAnsi="宋体" w:cs="宋体"/>
          <w:bCs/>
          <w:sz w:val="24"/>
        </w:rPr>
        <w:t>8.7 严格按照招标书的技术要求及技术协议条款进行产品设计，选用材料严把质量关。</w:t>
      </w:r>
    </w:p>
    <w:p w14:paraId="6E4B554B">
      <w:pPr>
        <w:pStyle w:val="4"/>
        <w:adjustRightInd w:val="0"/>
        <w:spacing w:after="0" w:line="360" w:lineRule="auto"/>
        <w:textAlignment w:val="baseline"/>
        <w:rPr>
          <w:rFonts w:hint="eastAsia" w:ascii="宋体" w:hAnsi="宋体" w:cs="宋体"/>
          <w:bCs/>
          <w:sz w:val="24"/>
        </w:rPr>
      </w:pPr>
      <w:r>
        <w:rPr>
          <w:rFonts w:hint="eastAsia" w:ascii="宋体" w:hAnsi="宋体" w:cs="宋体"/>
          <w:bCs/>
          <w:sz w:val="24"/>
        </w:rPr>
        <w:t>8.8 所有外购件必须有国家颁发的生产许可证、合格证及使用说明书。</w:t>
      </w:r>
    </w:p>
    <w:p w14:paraId="558C8B6F">
      <w:pPr>
        <w:pStyle w:val="4"/>
        <w:adjustRightInd w:val="0"/>
        <w:spacing w:after="0" w:line="360" w:lineRule="auto"/>
        <w:textAlignment w:val="baseline"/>
      </w:pPr>
      <w:r>
        <w:rPr>
          <w:rFonts w:hint="eastAsia" w:ascii="宋体" w:hAnsi="宋体" w:cs="宋体"/>
          <w:bCs/>
          <w:sz w:val="24"/>
        </w:rPr>
        <w:t>8.9 设备在保质期内，发生任何故障，乙方负责免费维修；保质期结束后，发生故障，乙方提供技术支持服务，如有更换配件需要，乙方需优先提供配件给予更换。</w:t>
      </w:r>
    </w:p>
    <w:p w14:paraId="148990D7">
      <w:pPr>
        <w:pStyle w:val="2"/>
        <w:spacing w:before="0" w:after="0" w:line="360" w:lineRule="auto"/>
        <w:rPr>
          <w:rFonts w:hint="eastAsia" w:ascii="宋体" w:hAnsi="宋体" w:cs="宋体"/>
          <w:sz w:val="28"/>
          <w:szCs w:val="28"/>
        </w:rPr>
      </w:pPr>
      <w:bookmarkStart w:id="119" w:name="_Toc205546297"/>
      <w:r>
        <w:rPr>
          <w:rFonts w:hint="eastAsia" w:ascii="宋体" w:hAnsi="宋体" w:cs="宋体"/>
          <w:sz w:val="28"/>
          <w:szCs w:val="28"/>
        </w:rPr>
        <w:t>9、文件及技术资料交付</w:t>
      </w:r>
      <w:bookmarkEnd w:id="119"/>
    </w:p>
    <w:p w14:paraId="4F1FC0B3">
      <w:pPr>
        <w:pStyle w:val="19"/>
        <w:spacing w:line="360" w:lineRule="auto"/>
        <w:ind w:firstLine="480" w:firstLineChars="200"/>
        <w:textAlignment w:val="baseline"/>
        <w:rPr>
          <w:rFonts w:cs="Times New Roman"/>
          <w:color w:val="000000"/>
          <w:kern w:val="2"/>
          <w:sz w:val="24"/>
          <w:szCs w:val="24"/>
        </w:rPr>
      </w:pPr>
      <w:r>
        <w:rPr>
          <w:rFonts w:hint="eastAsia" w:ascii="宋体" w:hAnsi="宋体"/>
          <w:bCs/>
          <w:kern w:val="2"/>
          <w:sz w:val="24"/>
          <w:szCs w:val="24"/>
        </w:rPr>
        <w:t>系统验收时，乙方应提供下述要求的工程设计文件/图纸，包括以下内容</w:t>
      </w:r>
      <w:r>
        <w:rPr>
          <w:rFonts w:cs="Times New Roman"/>
          <w:color w:val="000000"/>
          <w:kern w:val="2"/>
          <w:sz w:val="24"/>
          <w:szCs w:val="24"/>
        </w:rPr>
        <w:t>：</w:t>
      </w:r>
    </w:p>
    <w:tbl>
      <w:tblPr>
        <w:tblStyle w:val="11"/>
        <w:tblW w:w="8149" w:type="dxa"/>
        <w:jc w:val="center"/>
        <w:tblLayout w:type="fixed"/>
        <w:tblCellMar>
          <w:top w:w="0" w:type="dxa"/>
          <w:left w:w="108" w:type="dxa"/>
          <w:bottom w:w="0" w:type="dxa"/>
          <w:right w:w="108" w:type="dxa"/>
        </w:tblCellMar>
      </w:tblPr>
      <w:tblGrid>
        <w:gridCol w:w="1106"/>
        <w:gridCol w:w="2332"/>
        <w:gridCol w:w="2779"/>
        <w:gridCol w:w="1932"/>
      </w:tblGrid>
      <w:tr w14:paraId="4DF5F6A9">
        <w:tblPrEx>
          <w:tblCellMar>
            <w:top w:w="0" w:type="dxa"/>
            <w:left w:w="108" w:type="dxa"/>
            <w:bottom w:w="0" w:type="dxa"/>
            <w:right w:w="108" w:type="dxa"/>
          </w:tblCellMar>
        </w:tblPrEx>
        <w:trPr>
          <w:trHeight w:val="493"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7847DB57">
            <w:pPr>
              <w:pStyle w:val="19"/>
              <w:spacing w:line="360" w:lineRule="auto"/>
              <w:jc w:val="center"/>
              <w:textAlignment w:val="baseline"/>
              <w:rPr>
                <w:rFonts w:hint="eastAsia" w:ascii="宋体" w:hAnsi="宋体"/>
                <w:b/>
                <w:kern w:val="2"/>
                <w:sz w:val="24"/>
                <w:szCs w:val="24"/>
              </w:rPr>
            </w:pPr>
            <w:r>
              <w:rPr>
                <w:rFonts w:hint="eastAsia" w:ascii="宋体" w:hAnsi="宋体"/>
                <w:b/>
                <w:kern w:val="2"/>
                <w:sz w:val="24"/>
                <w:szCs w:val="24"/>
              </w:rPr>
              <w:t>序号</w:t>
            </w:r>
          </w:p>
        </w:tc>
        <w:tc>
          <w:tcPr>
            <w:tcW w:w="2332" w:type="dxa"/>
            <w:tcBorders>
              <w:top w:val="single" w:color="000000" w:sz="4" w:space="0"/>
              <w:left w:val="single" w:color="000000" w:sz="4" w:space="0"/>
              <w:bottom w:val="single" w:color="000000" w:sz="4" w:space="0"/>
              <w:right w:val="single" w:color="000000" w:sz="4" w:space="0"/>
            </w:tcBorders>
            <w:vAlign w:val="center"/>
          </w:tcPr>
          <w:p w14:paraId="606A8423">
            <w:pPr>
              <w:pStyle w:val="19"/>
              <w:spacing w:line="360" w:lineRule="auto"/>
              <w:jc w:val="center"/>
              <w:textAlignment w:val="baseline"/>
              <w:rPr>
                <w:rFonts w:hint="eastAsia" w:ascii="宋体" w:hAnsi="宋体"/>
                <w:b/>
                <w:kern w:val="2"/>
                <w:sz w:val="24"/>
                <w:szCs w:val="24"/>
              </w:rPr>
            </w:pPr>
            <w:r>
              <w:rPr>
                <w:rFonts w:hint="eastAsia" w:ascii="宋体" w:hAnsi="宋体"/>
                <w:b/>
                <w:kern w:val="2"/>
                <w:sz w:val="24"/>
                <w:szCs w:val="24"/>
              </w:rPr>
              <w:t>名称</w:t>
            </w:r>
          </w:p>
        </w:tc>
        <w:tc>
          <w:tcPr>
            <w:tcW w:w="2779" w:type="dxa"/>
            <w:tcBorders>
              <w:top w:val="single" w:color="000000" w:sz="4" w:space="0"/>
              <w:left w:val="single" w:color="000000" w:sz="4" w:space="0"/>
              <w:bottom w:val="single" w:color="000000" w:sz="4" w:space="0"/>
              <w:right w:val="single" w:color="000000" w:sz="4" w:space="0"/>
            </w:tcBorders>
            <w:vAlign w:val="center"/>
          </w:tcPr>
          <w:p w14:paraId="575DADB0">
            <w:pPr>
              <w:pStyle w:val="19"/>
              <w:spacing w:line="360" w:lineRule="auto"/>
              <w:jc w:val="center"/>
              <w:textAlignment w:val="baseline"/>
              <w:rPr>
                <w:rFonts w:hint="eastAsia" w:ascii="宋体" w:hAnsi="宋体"/>
                <w:b/>
                <w:kern w:val="2"/>
                <w:sz w:val="24"/>
                <w:szCs w:val="24"/>
              </w:rPr>
            </w:pPr>
            <w:r>
              <w:rPr>
                <w:rFonts w:hint="eastAsia" w:ascii="宋体" w:hAnsi="宋体"/>
                <w:b/>
                <w:kern w:val="2"/>
                <w:sz w:val="24"/>
                <w:szCs w:val="24"/>
              </w:rPr>
              <w:t>数量</w:t>
            </w:r>
          </w:p>
        </w:tc>
        <w:tc>
          <w:tcPr>
            <w:tcW w:w="1932" w:type="dxa"/>
            <w:tcBorders>
              <w:top w:val="single" w:color="000000" w:sz="4" w:space="0"/>
              <w:left w:val="single" w:color="000000" w:sz="4" w:space="0"/>
              <w:bottom w:val="single" w:color="000000" w:sz="4" w:space="0"/>
              <w:right w:val="single" w:color="000000" w:sz="4" w:space="0"/>
            </w:tcBorders>
            <w:vAlign w:val="center"/>
          </w:tcPr>
          <w:p w14:paraId="08076BD2">
            <w:pPr>
              <w:pStyle w:val="19"/>
              <w:spacing w:line="360" w:lineRule="auto"/>
              <w:jc w:val="center"/>
              <w:textAlignment w:val="baseline"/>
              <w:rPr>
                <w:rFonts w:hint="eastAsia" w:ascii="宋体" w:hAnsi="宋体"/>
                <w:b/>
                <w:kern w:val="2"/>
                <w:sz w:val="24"/>
                <w:szCs w:val="24"/>
              </w:rPr>
            </w:pPr>
            <w:r>
              <w:rPr>
                <w:rFonts w:hint="eastAsia" w:ascii="宋体" w:hAnsi="宋体"/>
                <w:b/>
                <w:kern w:val="2"/>
                <w:sz w:val="24"/>
                <w:szCs w:val="24"/>
              </w:rPr>
              <w:t>备注</w:t>
            </w:r>
          </w:p>
        </w:tc>
      </w:tr>
      <w:tr w14:paraId="65C01FF5">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55C036A7">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1</w:t>
            </w:r>
          </w:p>
        </w:tc>
        <w:tc>
          <w:tcPr>
            <w:tcW w:w="2332" w:type="dxa"/>
            <w:tcBorders>
              <w:top w:val="single" w:color="000000" w:sz="4" w:space="0"/>
              <w:left w:val="single" w:color="000000" w:sz="4" w:space="0"/>
              <w:bottom w:val="single" w:color="000000" w:sz="4" w:space="0"/>
              <w:right w:val="single" w:color="000000" w:sz="4" w:space="0"/>
            </w:tcBorders>
            <w:vAlign w:val="center"/>
          </w:tcPr>
          <w:p w14:paraId="7FF2E421">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产品合格证</w:t>
            </w:r>
          </w:p>
        </w:tc>
        <w:tc>
          <w:tcPr>
            <w:tcW w:w="2779" w:type="dxa"/>
            <w:tcBorders>
              <w:top w:val="single" w:color="000000" w:sz="4" w:space="0"/>
              <w:left w:val="single" w:color="000000" w:sz="4" w:space="0"/>
              <w:bottom w:val="single" w:color="000000" w:sz="4" w:space="0"/>
              <w:right w:val="single" w:color="000000" w:sz="4" w:space="0"/>
            </w:tcBorders>
            <w:vAlign w:val="center"/>
          </w:tcPr>
          <w:p w14:paraId="6F2E0E43">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纸质版4套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3A3B5D23">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发货附带</w:t>
            </w:r>
          </w:p>
        </w:tc>
      </w:tr>
      <w:tr w14:paraId="0A0F8975">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5EA0E68D">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2</w:t>
            </w:r>
          </w:p>
        </w:tc>
        <w:tc>
          <w:tcPr>
            <w:tcW w:w="2332" w:type="dxa"/>
            <w:tcBorders>
              <w:top w:val="single" w:color="000000" w:sz="4" w:space="0"/>
              <w:left w:val="single" w:color="000000" w:sz="4" w:space="0"/>
              <w:bottom w:val="single" w:color="000000" w:sz="4" w:space="0"/>
              <w:right w:val="single" w:color="000000" w:sz="4" w:space="0"/>
            </w:tcBorders>
            <w:vAlign w:val="center"/>
          </w:tcPr>
          <w:p w14:paraId="7213446C">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产品检验报告</w:t>
            </w:r>
          </w:p>
        </w:tc>
        <w:tc>
          <w:tcPr>
            <w:tcW w:w="2779" w:type="dxa"/>
            <w:tcBorders>
              <w:top w:val="single" w:color="000000" w:sz="4" w:space="0"/>
              <w:left w:val="single" w:color="000000" w:sz="4" w:space="0"/>
              <w:bottom w:val="single" w:color="000000" w:sz="4" w:space="0"/>
              <w:right w:val="single" w:color="000000" w:sz="4" w:space="0"/>
            </w:tcBorders>
            <w:vAlign w:val="center"/>
          </w:tcPr>
          <w:p w14:paraId="6A1787FF">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纸质版4套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0E047108">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发货附带</w:t>
            </w:r>
          </w:p>
        </w:tc>
      </w:tr>
      <w:tr w14:paraId="0730B706">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17D4CC6E">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3</w:t>
            </w:r>
          </w:p>
        </w:tc>
        <w:tc>
          <w:tcPr>
            <w:tcW w:w="2332" w:type="dxa"/>
            <w:tcBorders>
              <w:top w:val="single" w:color="000000" w:sz="4" w:space="0"/>
              <w:left w:val="single" w:color="000000" w:sz="4" w:space="0"/>
              <w:bottom w:val="single" w:color="000000" w:sz="4" w:space="0"/>
              <w:right w:val="single" w:color="000000" w:sz="4" w:space="0"/>
            </w:tcBorders>
            <w:vAlign w:val="center"/>
          </w:tcPr>
          <w:p w14:paraId="373E235E">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用户手册</w:t>
            </w:r>
          </w:p>
        </w:tc>
        <w:tc>
          <w:tcPr>
            <w:tcW w:w="2779" w:type="dxa"/>
            <w:tcBorders>
              <w:top w:val="single" w:color="000000" w:sz="4" w:space="0"/>
              <w:left w:val="single" w:color="000000" w:sz="4" w:space="0"/>
              <w:bottom w:val="single" w:color="000000" w:sz="4" w:space="0"/>
              <w:right w:val="single" w:color="000000" w:sz="4" w:space="0"/>
            </w:tcBorders>
            <w:vAlign w:val="center"/>
          </w:tcPr>
          <w:p w14:paraId="404B2BE0">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纸质4套、电子版1套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4AB24633">
            <w:pPr>
              <w:pStyle w:val="19"/>
              <w:spacing w:line="360" w:lineRule="auto"/>
              <w:ind w:firstLine="480" w:firstLineChars="200"/>
              <w:jc w:val="center"/>
              <w:textAlignment w:val="baseline"/>
              <w:rPr>
                <w:rFonts w:hint="eastAsia" w:ascii="宋体" w:hAnsi="宋体"/>
                <w:bCs/>
                <w:kern w:val="2"/>
                <w:sz w:val="24"/>
                <w:szCs w:val="24"/>
              </w:rPr>
            </w:pPr>
          </w:p>
        </w:tc>
      </w:tr>
      <w:tr w14:paraId="5EB9A7D8">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09ABB602">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4</w:t>
            </w:r>
          </w:p>
        </w:tc>
        <w:tc>
          <w:tcPr>
            <w:tcW w:w="2332" w:type="dxa"/>
            <w:tcBorders>
              <w:top w:val="single" w:color="000000" w:sz="4" w:space="0"/>
              <w:left w:val="single" w:color="000000" w:sz="4" w:space="0"/>
              <w:bottom w:val="single" w:color="000000" w:sz="4" w:space="0"/>
              <w:right w:val="single" w:color="000000" w:sz="4" w:space="0"/>
            </w:tcBorders>
            <w:vAlign w:val="center"/>
          </w:tcPr>
          <w:p w14:paraId="7A4DE029">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设备说明书</w:t>
            </w:r>
          </w:p>
        </w:tc>
        <w:tc>
          <w:tcPr>
            <w:tcW w:w="2779" w:type="dxa"/>
            <w:tcBorders>
              <w:top w:val="single" w:color="000000" w:sz="4" w:space="0"/>
              <w:left w:val="single" w:color="000000" w:sz="4" w:space="0"/>
              <w:bottom w:val="single" w:color="000000" w:sz="4" w:space="0"/>
              <w:right w:val="single" w:color="000000" w:sz="4" w:space="0"/>
            </w:tcBorders>
            <w:vAlign w:val="center"/>
          </w:tcPr>
          <w:p w14:paraId="6F61020A">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纸质4套、电子版1套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268F910C">
            <w:pPr>
              <w:pStyle w:val="19"/>
              <w:spacing w:line="360" w:lineRule="auto"/>
              <w:ind w:firstLine="480" w:firstLineChars="200"/>
              <w:jc w:val="center"/>
              <w:textAlignment w:val="baseline"/>
              <w:rPr>
                <w:rFonts w:hint="eastAsia" w:ascii="宋体" w:hAnsi="宋体"/>
                <w:bCs/>
                <w:kern w:val="2"/>
                <w:sz w:val="24"/>
                <w:szCs w:val="24"/>
              </w:rPr>
            </w:pPr>
          </w:p>
        </w:tc>
      </w:tr>
      <w:tr w14:paraId="60CA3A33">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332E449F">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5</w:t>
            </w:r>
          </w:p>
        </w:tc>
        <w:tc>
          <w:tcPr>
            <w:tcW w:w="2332" w:type="dxa"/>
            <w:tcBorders>
              <w:top w:val="single" w:color="000000" w:sz="4" w:space="0"/>
              <w:left w:val="single" w:color="000000" w:sz="4" w:space="0"/>
              <w:bottom w:val="single" w:color="000000" w:sz="4" w:space="0"/>
              <w:right w:val="single" w:color="000000" w:sz="4" w:space="0"/>
            </w:tcBorders>
            <w:vAlign w:val="center"/>
          </w:tcPr>
          <w:p w14:paraId="30CFF1E8">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软件使用说明书</w:t>
            </w:r>
          </w:p>
        </w:tc>
        <w:tc>
          <w:tcPr>
            <w:tcW w:w="2779" w:type="dxa"/>
            <w:tcBorders>
              <w:top w:val="single" w:color="000000" w:sz="4" w:space="0"/>
              <w:left w:val="single" w:color="000000" w:sz="4" w:space="0"/>
              <w:bottom w:val="single" w:color="000000" w:sz="4" w:space="0"/>
              <w:right w:val="single" w:color="000000" w:sz="4" w:space="0"/>
            </w:tcBorders>
            <w:vAlign w:val="center"/>
          </w:tcPr>
          <w:p w14:paraId="552F97EA">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纸质4套、电子版1套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08BDE2BD">
            <w:pPr>
              <w:pStyle w:val="19"/>
              <w:spacing w:line="360" w:lineRule="auto"/>
              <w:ind w:firstLine="480" w:firstLineChars="200"/>
              <w:jc w:val="center"/>
              <w:textAlignment w:val="baseline"/>
              <w:rPr>
                <w:rFonts w:hint="eastAsia" w:ascii="宋体" w:hAnsi="宋体"/>
                <w:bCs/>
                <w:kern w:val="2"/>
                <w:sz w:val="24"/>
                <w:szCs w:val="24"/>
              </w:rPr>
            </w:pPr>
          </w:p>
        </w:tc>
      </w:tr>
      <w:tr w14:paraId="351BACD7">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01713DB6">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6</w:t>
            </w:r>
          </w:p>
        </w:tc>
        <w:tc>
          <w:tcPr>
            <w:tcW w:w="2332" w:type="dxa"/>
            <w:tcBorders>
              <w:top w:val="single" w:color="000000" w:sz="4" w:space="0"/>
              <w:left w:val="single" w:color="000000" w:sz="4" w:space="0"/>
              <w:bottom w:val="single" w:color="000000" w:sz="4" w:space="0"/>
              <w:right w:val="single" w:color="000000" w:sz="4" w:space="0"/>
            </w:tcBorders>
            <w:vAlign w:val="center"/>
          </w:tcPr>
          <w:p w14:paraId="33940506">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系统维护指南</w:t>
            </w:r>
          </w:p>
        </w:tc>
        <w:tc>
          <w:tcPr>
            <w:tcW w:w="2779" w:type="dxa"/>
            <w:tcBorders>
              <w:top w:val="single" w:color="000000" w:sz="4" w:space="0"/>
              <w:left w:val="single" w:color="000000" w:sz="4" w:space="0"/>
              <w:bottom w:val="single" w:color="000000" w:sz="4" w:space="0"/>
              <w:right w:val="single" w:color="000000" w:sz="4" w:space="0"/>
            </w:tcBorders>
            <w:vAlign w:val="center"/>
          </w:tcPr>
          <w:p w14:paraId="2378E0B2">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纸质4套、电子版1套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18DE5459">
            <w:pPr>
              <w:pStyle w:val="19"/>
              <w:spacing w:line="360" w:lineRule="auto"/>
              <w:ind w:firstLine="480" w:firstLineChars="200"/>
              <w:jc w:val="center"/>
              <w:textAlignment w:val="baseline"/>
              <w:rPr>
                <w:rFonts w:hint="eastAsia" w:ascii="宋体" w:hAnsi="宋体"/>
                <w:bCs/>
                <w:kern w:val="2"/>
                <w:sz w:val="24"/>
                <w:szCs w:val="24"/>
              </w:rPr>
            </w:pPr>
          </w:p>
        </w:tc>
      </w:tr>
      <w:tr w14:paraId="44760736">
        <w:tblPrEx>
          <w:tblCellMar>
            <w:top w:w="0" w:type="dxa"/>
            <w:left w:w="108" w:type="dxa"/>
            <w:bottom w:w="0" w:type="dxa"/>
            <w:right w:w="108" w:type="dxa"/>
          </w:tblCellMar>
        </w:tblPrEx>
        <w:trPr>
          <w:trHeight w:val="494" w:hRule="atLeast"/>
          <w:jc w:val="center"/>
        </w:trPr>
        <w:tc>
          <w:tcPr>
            <w:tcW w:w="1106" w:type="dxa"/>
            <w:tcBorders>
              <w:top w:val="single" w:color="000000" w:sz="4" w:space="0"/>
              <w:left w:val="single" w:color="000000" w:sz="4" w:space="0"/>
              <w:bottom w:val="single" w:color="000000" w:sz="4" w:space="0"/>
              <w:right w:val="single" w:color="000000" w:sz="4" w:space="0"/>
            </w:tcBorders>
            <w:vAlign w:val="center"/>
          </w:tcPr>
          <w:p w14:paraId="02A0C2C5">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7</w:t>
            </w:r>
          </w:p>
        </w:tc>
        <w:tc>
          <w:tcPr>
            <w:tcW w:w="2332" w:type="dxa"/>
            <w:tcBorders>
              <w:top w:val="single" w:color="000000" w:sz="4" w:space="0"/>
              <w:left w:val="single" w:color="000000" w:sz="4" w:space="0"/>
              <w:bottom w:val="single" w:color="000000" w:sz="4" w:space="0"/>
              <w:right w:val="single" w:color="000000" w:sz="4" w:space="0"/>
            </w:tcBorders>
            <w:vAlign w:val="center"/>
          </w:tcPr>
          <w:p w14:paraId="0A332121">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项目交工资料</w:t>
            </w:r>
          </w:p>
        </w:tc>
        <w:tc>
          <w:tcPr>
            <w:tcW w:w="2779" w:type="dxa"/>
            <w:tcBorders>
              <w:top w:val="single" w:color="000000" w:sz="4" w:space="0"/>
              <w:left w:val="single" w:color="000000" w:sz="4" w:space="0"/>
              <w:bottom w:val="single" w:color="000000" w:sz="4" w:space="0"/>
              <w:right w:val="single" w:color="000000" w:sz="4" w:space="0"/>
            </w:tcBorders>
            <w:vAlign w:val="center"/>
          </w:tcPr>
          <w:p w14:paraId="299E9D36">
            <w:pPr>
              <w:pStyle w:val="19"/>
              <w:spacing w:line="360" w:lineRule="auto"/>
              <w:jc w:val="center"/>
              <w:textAlignment w:val="baseline"/>
              <w:rPr>
                <w:rFonts w:hint="eastAsia" w:ascii="宋体" w:hAnsi="宋体"/>
                <w:bCs/>
                <w:kern w:val="2"/>
                <w:sz w:val="24"/>
                <w:szCs w:val="24"/>
              </w:rPr>
            </w:pPr>
            <w:r>
              <w:rPr>
                <w:rFonts w:hint="eastAsia" w:ascii="宋体" w:hAnsi="宋体"/>
                <w:bCs/>
                <w:kern w:val="2"/>
                <w:sz w:val="24"/>
                <w:szCs w:val="24"/>
              </w:rPr>
              <w:t>纸质4套、电子版1套</w:t>
            </w:r>
          </w:p>
        </w:tc>
        <w:tc>
          <w:tcPr>
            <w:tcW w:w="1932" w:type="dxa"/>
            <w:tcBorders>
              <w:top w:val="single" w:color="000000" w:sz="4" w:space="0"/>
              <w:left w:val="single" w:color="000000" w:sz="4" w:space="0"/>
              <w:bottom w:val="single" w:color="000000" w:sz="4" w:space="0"/>
              <w:right w:val="single" w:color="000000" w:sz="4" w:space="0"/>
            </w:tcBorders>
            <w:vAlign w:val="center"/>
          </w:tcPr>
          <w:p w14:paraId="1235819F">
            <w:pPr>
              <w:pStyle w:val="19"/>
              <w:spacing w:line="360" w:lineRule="auto"/>
              <w:ind w:firstLine="480" w:firstLineChars="200"/>
              <w:jc w:val="center"/>
              <w:textAlignment w:val="baseline"/>
              <w:rPr>
                <w:rFonts w:hint="eastAsia" w:ascii="宋体" w:hAnsi="宋体"/>
                <w:bCs/>
                <w:kern w:val="2"/>
                <w:sz w:val="24"/>
                <w:szCs w:val="24"/>
              </w:rPr>
            </w:pPr>
          </w:p>
        </w:tc>
      </w:tr>
    </w:tbl>
    <w:p w14:paraId="7852E7B2">
      <w:pPr>
        <w:pStyle w:val="2"/>
        <w:spacing w:before="0" w:after="0" w:line="360" w:lineRule="auto"/>
        <w:rPr>
          <w:rFonts w:hint="eastAsia" w:ascii="宋体" w:hAnsi="宋体" w:cs="宋体"/>
          <w:sz w:val="28"/>
          <w:szCs w:val="28"/>
        </w:rPr>
      </w:pPr>
      <w:bookmarkStart w:id="120" w:name="_Toc205546298"/>
      <w:r>
        <w:rPr>
          <w:rFonts w:hint="eastAsia" w:ascii="宋体" w:hAnsi="宋体" w:cs="宋体"/>
          <w:sz w:val="28"/>
          <w:szCs w:val="28"/>
        </w:rPr>
        <w:t>10、包装与运输</w:t>
      </w:r>
      <w:bookmarkEnd w:id="120"/>
    </w:p>
    <w:p w14:paraId="25B3B57F">
      <w:pPr>
        <w:pStyle w:val="5"/>
        <w:adjustRightInd w:val="0"/>
        <w:snapToGrid w:val="0"/>
        <w:ind w:firstLine="0"/>
        <w:rPr>
          <w:rFonts w:hint="eastAsia" w:ascii="宋体" w:hAnsi="宋体"/>
          <w:szCs w:val="24"/>
        </w:rPr>
      </w:pPr>
      <w:bookmarkStart w:id="121" w:name="_Toc290981690"/>
      <w:r>
        <w:rPr>
          <w:rFonts w:hint="eastAsia" w:ascii="宋体" w:hAnsi="宋体"/>
          <w:szCs w:val="24"/>
        </w:rPr>
        <w:t>10.1 包装</w:t>
      </w:r>
      <w:bookmarkEnd w:id="121"/>
    </w:p>
    <w:p w14:paraId="5A1A51CD">
      <w:pPr>
        <w:pStyle w:val="5"/>
        <w:adjustRightInd w:val="0"/>
        <w:snapToGrid w:val="0"/>
        <w:ind w:firstLine="0"/>
        <w:rPr>
          <w:rFonts w:hint="eastAsia" w:ascii="宋体" w:hAnsi="宋体"/>
          <w:szCs w:val="24"/>
        </w:rPr>
      </w:pPr>
      <w:r>
        <w:rPr>
          <w:rFonts w:hint="eastAsia" w:ascii="宋体" w:hAnsi="宋体"/>
          <w:szCs w:val="24"/>
        </w:rPr>
        <w:t>10.1.1 产品的包装按</w:t>
      </w:r>
      <w:r>
        <w:rPr>
          <w:rFonts w:ascii="宋体" w:hAnsi="宋体"/>
          <w:szCs w:val="24"/>
        </w:rPr>
        <w:t>GB13384-2008</w:t>
      </w:r>
      <w:r>
        <w:rPr>
          <w:rFonts w:hint="eastAsia" w:ascii="宋体" w:hAnsi="宋体"/>
          <w:szCs w:val="24"/>
        </w:rPr>
        <w:t>《机电产品包装通用技术条件》执行。</w:t>
      </w:r>
    </w:p>
    <w:p w14:paraId="3CC4D9F9">
      <w:pPr>
        <w:pStyle w:val="5"/>
        <w:adjustRightInd w:val="0"/>
        <w:snapToGrid w:val="0"/>
        <w:ind w:firstLine="0"/>
        <w:rPr>
          <w:rFonts w:hint="eastAsia" w:ascii="宋体" w:hAnsi="宋体"/>
          <w:szCs w:val="24"/>
        </w:rPr>
      </w:pPr>
      <w:r>
        <w:rPr>
          <w:rFonts w:hint="eastAsia" w:ascii="宋体" w:hAnsi="宋体"/>
          <w:szCs w:val="24"/>
        </w:rPr>
        <w:t>10.1.2 应采取措施避免在运输过程中由于振动或者碰撞引起的损坏。</w:t>
      </w:r>
    </w:p>
    <w:p w14:paraId="54A28E7C">
      <w:pPr>
        <w:pStyle w:val="5"/>
        <w:adjustRightInd w:val="0"/>
        <w:snapToGrid w:val="0"/>
        <w:ind w:firstLine="0"/>
        <w:rPr>
          <w:rFonts w:hint="eastAsia" w:ascii="宋体" w:hAnsi="宋体"/>
          <w:szCs w:val="24"/>
        </w:rPr>
      </w:pPr>
      <w:r>
        <w:rPr>
          <w:rFonts w:hint="eastAsia" w:ascii="宋体" w:hAnsi="宋体"/>
          <w:szCs w:val="24"/>
        </w:rPr>
        <w:t>10.21.3 所有包装箱应有详细的标记和装箱清单。</w:t>
      </w:r>
    </w:p>
    <w:p w14:paraId="6502D67B">
      <w:pPr>
        <w:pStyle w:val="5"/>
        <w:adjustRightInd w:val="0"/>
        <w:snapToGrid w:val="0"/>
        <w:ind w:firstLine="0"/>
        <w:rPr>
          <w:rFonts w:hint="eastAsia" w:ascii="宋体" w:hAnsi="宋体"/>
          <w:szCs w:val="24"/>
        </w:rPr>
      </w:pPr>
      <w:r>
        <w:rPr>
          <w:rFonts w:hint="eastAsia" w:ascii="宋体" w:hAnsi="宋体"/>
          <w:szCs w:val="24"/>
        </w:rPr>
        <w:t>10.2 运输</w:t>
      </w:r>
    </w:p>
    <w:p w14:paraId="7E385574">
      <w:pPr>
        <w:adjustRightInd w:val="0"/>
        <w:snapToGrid w:val="0"/>
        <w:spacing w:line="360" w:lineRule="auto"/>
        <w:rPr>
          <w:rFonts w:hint="eastAsia" w:ascii="宋体" w:hAnsi="宋体"/>
          <w:sz w:val="24"/>
        </w:rPr>
      </w:pPr>
      <w:r>
        <w:rPr>
          <w:rFonts w:hint="eastAsia" w:ascii="宋体" w:hAnsi="宋体"/>
          <w:sz w:val="24"/>
        </w:rPr>
        <w:t>10.2.1乙方负责设备运输及运输费用，装运前乙方确保设备通过所有必需的检验，且在设备装运前</w:t>
      </w:r>
      <w:r>
        <w:rPr>
          <w:rFonts w:ascii="宋体" w:hAnsi="宋体"/>
          <w:sz w:val="24"/>
        </w:rPr>
        <w:t>3</w:t>
      </w:r>
      <w:r>
        <w:rPr>
          <w:rFonts w:hint="eastAsia" w:ascii="宋体" w:hAnsi="宋体"/>
          <w:sz w:val="24"/>
        </w:rPr>
        <w:t>天将要发运的设备、材料之项目、数量、单价及运输和存放注意事项等详细情况书面通知甲方。</w:t>
      </w:r>
    </w:p>
    <w:p w14:paraId="52E8C52C">
      <w:pPr>
        <w:adjustRightInd w:val="0"/>
        <w:snapToGrid w:val="0"/>
        <w:spacing w:line="360" w:lineRule="auto"/>
        <w:rPr>
          <w:rFonts w:hint="eastAsia" w:ascii="宋体" w:hAnsi="宋体"/>
          <w:sz w:val="24"/>
        </w:rPr>
      </w:pPr>
      <w:r>
        <w:rPr>
          <w:rFonts w:hint="eastAsia" w:ascii="宋体" w:hAnsi="宋体"/>
          <w:sz w:val="24"/>
        </w:rPr>
        <w:t>10.2.2设备在装卸、运输过程中采取支承措施予以固定（在易磨擦处放置软质垫），防止碰撞和压伤。所有部件和接管均进行加固支撑，以防止在吊装和运输过程由于震动和摇晃而造成的破坏。如果出现</w:t>
      </w:r>
      <w:r>
        <w:rPr>
          <w:rFonts w:ascii="宋体" w:hAnsi="宋体"/>
          <w:sz w:val="24"/>
        </w:rPr>
        <w:t>损失和损坏</w:t>
      </w:r>
      <w:r>
        <w:rPr>
          <w:rFonts w:hint="eastAsia" w:ascii="宋体" w:hAnsi="宋体"/>
          <w:sz w:val="24"/>
        </w:rPr>
        <w:t>的情况</w:t>
      </w:r>
      <w:r>
        <w:rPr>
          <w:rFonts w:ascii="宋体" w:hAnsi="宋体"/>
          <w:sz w:val="24"/>
        </w:rPr>
        <w:t>，由</w:t>
      </w:r>
      <w:r>
        <w:rPr>
          <w:rFonts w:hint="eastAsia" w:ascii="宋体" w:hAnsi="宋体"/>
          <w:sz w:val="24"/>
        </w:rPr>
        <w:t>乙</w:t>
      </w:r>
      <w:r>
        <w:rPr>
          <w:rFonts w:ascii="宋体" w:hAnsi="宋体"/>
          <w:sz w:val="24"/>
        </w:rPr>
        <w:t>方负责，</w:t>
      </w:r>
      <w:r>
        <w:rPr>
          <w:rFonts w:hint="eastAsia" w:ascii="宋体" w:hAnsi="宋体"/>
          <w:sz w:val="24"/>
        </w:rPr>
        <w:t>乙方应该</w:t>
      </w:r>
      <w:r>
        <w:rPr>
          <w:rFonts w:ascii="宋体" w:hAnsi="宋体"/>
          <w:sz w:val="24"/>
        </w:rPr>
        <w:t>向</w:t>
      </w:r>
      <w:r>
        <w:rPr>
          <w:rFonts w:hint="eastAsia" w:ascii="宋体" w:hAnsi="宋体"/>
          <w:sz w:val="24"/>
        </w:rPr>
        <w:t>甲方</w:t>
      </w:r>
      <w:r>
        <w:rPr>
          <w:rFonts w:ascii="宋体" w:hAnsi="宋体"/>
          <w:sz w:val="24"/>
        </w:rPr>
        <w:t>补充缺损件</w:t>
      </w:r>
      <w:r>
        <w:rPr>
          <w:rFonts w:hint="eastAsia" w:ascii="宋体" w:hAnsi="宋体"/>
          <w:sz w:val="24"/>
        </w:rPr>
        <w:t>，以满足甲方工程实际需要</w:t>
      </w:r>
      <w:r>
        <w:rPr>
          <w:rFonts w:ascii="宋体" w:hAnsi="宋体"/>
          <w:sz w:val="24"/>
        </w:rPr>
        <w:t>。</w:t>
      </w:r>
    </w:p>
    <w:p w14:paraId="4C6FFEAD">
      <w:pPr>
        <w:adjustRightInd w:val="0"/>
        <w:snapToGrid w:val="0"/>
        <w:spacing w:line="360" w:lineRule="auto"/>
        <w:rPr>
          <w:rFonts w:hint="eastAsia" w:ascii="宋体" w:hAnsi="宋体"/>
          <w:sz w:val="24"/>
        </w:rPr>
      </w:pPr>
      <w:r>
        <w:rPr>
          <w:rFonts w:hint="eastAsia" w:ascii="宋体" w:hAnsi="宋体"/>
          <w:sz w:val="24"/>
        </w:rPr>
        <w:t>10.2.3</w:t>
      </w:r>
      <w:r>
        <w:rPr>
          <w:rFonts w:ascii="宋体" w:hAnsi="宋体"/>
          <w:sz w:val="24"/>
        </w:rPr>
        <w:t>设备到达收货</w:t>
      </w:r>
      <w:r>
        <w:rPr>
          <w:rFonts w:hint="eastAsia" w:ascii="宋体" w:hAnsi="宋体"/>
          <w:sz w:val="24"/>
        </w:rPr>
        <w:t>甲方制定</w:t>
      </w:r>
      <w:r>
        <w:rPr>
          <w:rFonts w:ascii="宋体" w:hAnsi="宋体"/>
          <w:sz w:val="24"/>
        </w:rPr>
        <w:t>地点后，</w:t>
      </w:r>
      <w:r>
        <w:rPr>
          <w:rFonts w:hint="eastAsia" w:ascii="宋体" w:hAnsi="宋体"/>
          <w:sz w:val="24"/>
        </w:rPr>
        <w:t>甲方对到厂设备卸货、</w:t>
      </w:r>
      <w:r>
        <w:rPr>
          <w:rFonts w:ascii="宋体" w:hAnsi="宋体"/>
          <w:sz w:val="24"/>
        </w:rPr>
        <w:t>清点货物件数</w:t>
      </w:r>
      <w:r>
        <w:rPr>
          <w:rFonts w:hint="eastAsia" w:ascii="宋体" w:hAnsi="宋体"/>
          <w:sz w:val="24"/>
        </w:rPr>
        <w:t>、型号、位号</w:t>
      </w:r>
      <w:r>
        <w:rPr>
          <w:rFonts w:ascii="宋体" w:hAnsi="宋体"/>
          <w:sz w:val="24"/>
        </w:rPr>
        <w:t>及包装外观完整情况；如货物与发货清单不符或包装损坏时，</w:t>
      </w:r>
      <w:r>
        <w:rPr>
          <w:rFonts w:hint="eastAsia" w:ascii="宋体" w:hAnsi="宋体"/>
          <w:sz w:val="24"/>
        </w:rPr>
        <w:t>甲方</w:t>
      </w:r>
      <w:r>
        <w:rPr>
          <w:rFonts w:ascii="宋体" w:hAnsi="宋体"/>
          <w:sz w:val="24"/>
        </w:rPr>
        <w:t>在妥善保管同时，及时书面通知</w:t>
      </w:r>
      <w:r>
        <w:rPr>
          <w:rFonts w:hint="eastAsia" w:ascii="宋体" w:hAnsi="宋体"/>
          <w:sz w:val="24"/>
        </w:rPr>
        <w:t>乙方</w:t>
      </w:r>
      <w:r>
        <w:rPr>
          <w:rFonts w:ascii="宋体" w:hAnsi="宋体"/>
          <w:sz w:val="24"/>
        </w:rPr>
        <w:t>。</w:t>
      </w:r>
      <w:r>
        <w:rPr>
          <w:rFonts w:hint="eastAsia" w:ascii="宋体" w:hAnsi="宋体"/>
          <w:sz w:val="24"/>
        </w:rPr>
        <w:t>进厂初步验收不作为最终验收依据。</w:t>
      </w:r>
    </w:p>
    <w:p w14:paraId="2E900B80">
      <w:pPr>
        <w:pStyle w:val="2"/>
        <w:spacing w:before="0" w:after="0" w:line="360" w:lineRule="auto"/>
        <w:rPr>
          <w:rFonts w:hint="eastAsia" w:ascii="宋体" w:hAnsi="宋体" w:cs="宋体"/>
          <w:sz w:val="28"/>
          <w:szCs w:val="28"/>
        </w:rPr>
      </w:pPr>
      <w:bookmarkStart w:id="122" w:name="_Toc205546299"/>
      <w:r>
        <w:rPr>
          <w:rFonts w:hint="eastAsia" w:ascii="宋体" w:hAnsi="宋体" w:cs="宋体"/>
          <w:sz w:val="28"/>
          <w:szCs w:val="28"/>
        </w:rPr>
        <w:t>11、售后服务与指导</w:t>
      </w:r>
      <w:bookmarkEnd w:id="122"/>
    </w:p>
    <w:p w14:paraId="3CFE7221">
      <w:pPr>
        <w:adjustRightInd w:val="0"/>
        <w:snapToGrid w:val="0"/>
        <w:spacing w:line="360" w:lineRule="auto"/>
        <w:rPr>
          <w:rFonts w:hint="eastAsia" w:ascii="宋体" w:hAnsi="宋体"/>
          <w:sz w:val="24"/>
        </w:rPr>
      </w:pPr>
      <w:bookmarkStart w:id="123" w:name="_Toc223262981"/>
      <w:bookmarkStart w:id="124" w:name="_Toc223263488"/>
      <w:bookmarkStart w:id="125" w:name="_Toc325356665"/>
      <w:bookmarkStart w:id="126" w:name="_Toc184535207"/>
      <w:bookmarkStart w:id="127" w:name="_Toc223269078"/>
      <w:r>
        <w:rPr>
          <w:rFonts w:hint="eastAsia" w:ascii="宋体" w:hAnsi="宋体"/>
          <w:sz w:val="24"/>
        </w:rPr>
        <w:t>11.1 技术服务</w:t>
      </w:r>
      <w:bookmarkEnd w:id="123"/>
      <w:bookmarkEnd w:id="124"/>
      <w:bookmarkEnd w:id="125"/>
      <w:bookmarkEnd w:id="126"/>
      <w:bookmarkEnd w:id="127"/>
    </w:p>
    <w:p w14:paraId="1882BE04">
      <w:pPr>
        <w:adjustRightInd w:val="0"/>
        <w:snapToGrid w:val="0"/>
        <w:spacing w:line="360" w:lineRule="auto"/>
        <w:rPr>
          <w:rFonts w:hint="eastAsia" w:ascii="宋体" w:hAnsi="宋体"/>
          <w:sz w:val="24"/>
        </w:rPr>
      </w:pPr>
      <w:r>
        <w:rPr>
          <w:rFonts w:hint="eastAsia" w:ascii="宋体" w:hAnsi="宋体"/>
          <w:sz w:val="24"/>
        </w:rPr>
        <w:t>11.1.1 为使乙方所供设备安全、正常投运，乙方要派合格的现场服务人员。在投标阶段乙方需提供现场服务计划表，由甲方确认。如果此现场服务人日数不能满足工程需要，甲方有权要求乙方增加现场服务人日数，费用由乙方承担。</w:t>
      </w:r>
    </w:p>
    <w:p w14:paraId="02E33FAF">
      <w:pPr>
        <w:adjustRightInd w:val="0"/>
        <w:snapToGrid w:val="0"/>
        <w:spacing w:line="360" w:lineRule="auto"/>
        <w:rPr>
          <w:rFonts w:hint="eastAsia" w:ascii="宋体" w:hAnsi="宋体"/>
          <w:sz w:val="24"/>
        </w:rPr>
      </w:pPr>
      <w:r>
        <w:rPr>
          <w:rFonts w:hint="eastAsia" w:ascii="宋体" w:hAnsi="宋体"/>
          <w:sz w:val="24"/>
        </w:rPr>
        <w:t>11.1.2 乙方现场服务人员的任务主要包括催交设备、开箱检验货物、处理设备质量问题、安装和调试、试运和性能验收试验等。乙方对其现场服务人员的一切行为负全部责任</w:t>
      </w:r>
    </w:p>
    <w:p w14:paraId="7064F2D9">
      <w:pPr>
        <w:adjustRightInd w:val="0"/>
        <w:snapToGrid w:val="0"/>
        <w:spacing w:line="360" w:lineRule="auto"/>
        <w:rPr>
          <w:rFonts w:hint="eastAsia" w:ascii="宋体" w:hAnsi="宋体"/>
          <w:sz w:val="24"/>
        </w:rPr>
      </w:pPr>
      <w:r>
        <w:rPr>
          <w:rFonts w:hint="eastAsia" w:ascii="宋体" w:hAnsi="宋体"/>
          <w:sz w:val="24"/>
        </w:rPr>
        <w:t>11.1.3 乙方现场服务人员有权处理现场出现的一切技术和商务问题。如现场发生质量问题，乙方现场人员要在甲方规定的时间内处理解决。</w:t>
      </w:r>
    </w:p>
    <w:p w14:paraId="35C1DC10">
      <w:pPr>
        <w:adjustRightInd w:val="0"/>
        <w:snapToGrid w:val="0"/>
        <w:spacing w:line="360" w:lineRule="auto"/>
        <w:rPr>
          <w:rFonts w:hint="eastAsia" w:ascii="宋体" w:hAnsi="宋体"/>
          <w:sz w:val="24"/>
        </w:rPr>
      </w:pPr>
      <w:bookmarkStart w:id="128" w:name="_Toc325356666"/>
      <w:bookmarkStart w:id="129" w:name="_Toc223269079"/>
      <w:r>
        <w:rPr>
          <w:rFonts w:hint="eastAsia" w:ascii="宋体" w:hAnsi="宋体"/>
          <w:sz w:val="24"/>
        </w:rPr>
        <w:t>11.2  技术培训</w:t>
      </w:r>
      <w:bookmarkEnd w:id="128"/>
      <w:bookmarkEnd w:id="129"/>
    </w:p>
    <w:p w14:paraId="5FC77E9E">
      <w:pPr>
        <w:adjustRightInd w:val="0"/>
        <w:snapToGrid w:val="0"/>
        <w:spacing w:line="360" w:lineRule="auto"/>
        <w:rPr>
          <w:rFonts w:hint="eastAsia" w:ascii="宋体" w:hAnsi="宋体"/>
          <w:sz w:val="24"/>
        </w:rPr>
      </w:pPr>
      <w:bookmarkStart w:id="130" w:name="_Toc223269080"/>
      <w:bookmarkStart w:id="131" w:name="_Toc325356667"/>
      <w:r>
        <w:rPr>
          <w:rFonts w:hint="eastAsia" w:ascii="宋体" w:hAnsi="宋体"/>
          <w:sz w:val="24"/>
        </w:rPr>
        <w:t>11.2.1 乙方应免费对甲方进行培训，乙方应选派有经验的技术人员授课，培训资料以安装使用说明书为基本教材，以甲方内部培训资料为辅助教材。</w:t>
      </w:r>
    </w:p>
    <w:p w14:paraId="0308598B">
      <w:pPr>
        <w:adjustRightInd w:val="0"/>
        <w:snapToGrid w:val="0"/>
        <w:spacing w:line="360" w:lineRule="auto"/>
        <w:rPr>
          <w:rFonts w:hint="eastAsia" w:ascii="宋体" w:hAnsi="宋体"/>
          <w:sz w:val="24"/>
        </w:rPr>
      </w:pPr>
      <w:r>
        <w:rPr>
          <w:rFonts w:hint="eastAsia" w:ascii="宋体" w:hAnsi="宋体"/>
          <w:sz w:val="24"/>
        </w:rPr>
        <w:t>11.2.2 在设备现场调试期间，乙方负责对甲方操作和维修人员进行现场免费培训。</w:t>
      </w:r>
    </w:p>
    <w:p w14:paraId="6C512022">
      <w:pPr>
        <w:adjustRightInd w:val="0"/>
        <w:snapToGrid w:val="0"/>
        <w:spacing w:line="360" w:lineRule="auto"/>
        <w:rPr>
          <w:rFonts w:hint="eastAsia" w:ascii="宋体" w:hAnsi="宋体"/>
          <w:sz w:val="24"/>
        </w:rPr>
      </w:pPr>
      <w:r>
        <w:rPr>
          <w:rFonts w:hint="eastAsia" w:ascii="宋体" w:hAnsi="宋体"/>
          <w:sz w:val="24"/>
        </w:rPr>
        <w:t>11.2.3设备交付时，乙方确保甲方相关技术人员、运维人员可以熟练的进行设备系统运用、基础运维。</w:t>
      </w:r>
    </w:p>
    <w:p w14:paraId="39078FFB">
      <w:pPr>
        <w:adjustRightInd w:val="0"/>
        <w:snapToGrid w:val="0"/>
        <w:spacing w:line="360" w:lineRule="auto"/>
        <w:rPr>
          <w:rFonts w:hint="eastAsia" w:ascii="宋体" w:hAnsi="宋体"/>
          <w:sz w:val="24"/>
        </w:rPr>
      </w:pPr>
      <w:r>
        <w:rPr>
          <w:rFonts w:hint="eastAsia" w:ascii="宋体" w:hAnsi="宋体"/>
          <w:sz w:val="24"/>
        </w:rPr>
        <w:t>11.3 设计联络会</w:t>
      </w:r>
      <w:bookmarkEnd w:id="130"/>
      <w:bookmarkEnd w:id="131"/>
    </w:p>
    <w:p w14:paraId="41034D90">
      <w:pPr>
        <w:adjustRightInd w:val="0"/>
        <w:snapToGrid w:val="0"/>
        <w:spacing w:line="360" w:lineRule="auto"/>
        <w:rPr>
          <w:rFonts w:hint="eastAsia" w:ascii="宋体" w:hAnsi="宋体"/>
          <w:sz w:val="24"/>
        </w:rPr>
      </w:pPr>
      <w:r>
        <w:rPr>
          <w:rFonts w:hint="eastAsia" w:ascii="宋体" w:hAnsi="宋体"/>
          <w:sz w:val="24"/>
        </w:rPr>
        <w:t>11.3.1 设计联络会由乙方确定，但不少于两次，时间根据工程进度进行安排，乙方在投标书中对设计联络会进行详细阐述。</w:t>
      </w:r>
    </w:p>
    <w:p w14:paraId="0BC69975">
      <w:pPr>
        <w:adjustRightInd w:val="0"/>
        <w:snapToGrid w:val="0"/>
        <w:spacing w:line="360" w:lineRule="auto"/>
        <w:rPr>
          <w:rFonts w:hint="eastAsia" w:ascii="宋体" w:hAnsi="宋体"/>
          <w:sz w:val="24"/>
        </w:rPr>
      </w:pPr>
      <w:r>
        <w:rPr>
          <w:rFonts w:hint="eastAsia" w:ascii="宋体" w:hAnsi="宋体"/>
          <w:sz w:val="24"/>
        </w:rPr>
        <w:t>11.4 售后服务：</w:t>
      </w:r>
    </w:p>
    <w:p w14:paraId="0BF5B0F2">
      <w:pPr>
        <w:adjustRightInd w:val="0"/>
        <w:snapToGrid w:val="0"/>
        <w:spacing w:line="360" w:lineRule="auto"/>
        <w:rPr>
          <w:rFonts w:hint="eastAsia" w:ascii="宋体" w:hAnsi="宋体"/>
          <w:sz w:val="24"/>
        </w:rPr>
      </w:pPr>
      <w:r>
        <w:rPr>
          <w:rFonts w:hint="eastAsia" w:ascii="宋体" w:hAnsi="宋体"/>
          <w:sz w:val="24"/>
        </w:rPr>
        <w:t>11.4.1 乙方对所供设备免费培训甲方操作、维修人员。</w:t>
      </w:r>
    </w:p>
    <w:p w14:paraId="40DDCECB">
      <w:pPr>
        <w:adjustRightInd w:val="0"/>
        <w:snapToGrid w:val="0"/>
        <w:spacing w:line="360" w:lineRule="auto"/>
        <w:rPr>
          <w:rFonts w:hint="eastAsia" w:ascii="宋体" w:hAnsi="宋体"/>
          <w:sz w:val="24"/>
        </w:rPr>
      </w:pPr>
      <w:r>
        <w:rPr>
          <w:rFonts w:hint="eastAsia" w:ascii="宋体" w:hAnsi="宋体"/>
          <w:sz w:val="24"/>
        </w:rPr>
        <w:t>11.4.2 现场服务人员均为年富力强，经验丰富的技术人员。</w:t>
      </w:r>
    </w:p>
    <w:p w14:paraId="39B163DE">
      <w:pPr>
        <w:adjustRightInd w:val="0"/>
        <w:snapToGrid w:val="0"/>
        <w:spacing w:line="360" w:lineRule="auto"/>
        <w:rPr>
          <w:rFonts w:hint="eastAsia" w:ascii="宋体" w:hAnsi="宋体"/>
          <w:sz w:val="24"/>
        </w:rPr>
      </w:pPr>
      <w:r>
        <w:rPr>
          <w:rFonts w:hint="eastAsia" w:ascii="宋体" w:hAnsi="宋体"/>
          <w:sz w:val="24"/>
        </w:rPr>
        <w:t>11.4.3 在设备保质期内，接到甲方有关设备运行方面的问题，24小时内到达设备使用现场进行故障处理。在质保期结束后：继续免费为甲方提供技术咨询和技术支持。以最优惠的价格向甲方提供备品、备件。</w:t>
      </w:r>
    </w:p>
    <w:p w14:paraId="45F9D555">
      <w:pPr>
        <w:pStyle w:val="2"/>
        <w:spacing w:before="0" w:after="0" w:line="360" w:lineRule="auto"/>
        <w:rPr>
          <w:rFonts w:hint="eastAsia" w:ascii="宋体" w:hAnsi="宋体" w:cs="宋体"/>
          <w:sz w:val="28"/>
          <w:szCs w:val="28"/>
        </w:rPr>
      </w:pPr>
      <w:bookmarkStart w:id="132" w:name="_Toc205546300"/>
      <w:r>
        <w:rPr>
          <w:rFonts w:hint="eastAsia" w:ascii="宋体" w:hAnsi="宋体" w:cs="宋体"/>
          <w:sz w:val="28"/>
          <w:szCs w:val="28"/>
        </w:rPr>
        <w:t>12、其他约定</w:t>
      </w:r>
      <w:bookmarkEnd w:id="132"/>
    </w:p>
    <w:p w14:paraId="0A4ECD25">
      <w:pPr>
        <w:adjustRightInd w:val="0"/>
        <w:snapToGrid w:val="0"/>
        <w:spacing w:line="360" w:lineRule="auto"/>
        <w:rPr>
          <w:rFonts w:hint="eastAsia" w:ascii="宋体" w:hAnsi="宋体"/>
          <w:sz w:val="24"/>
        </w:rPr>
      </w:pPr>
      <w:r>
        <w:rPr>
          <w:rFonts w:hint="eastAsia" w:ascii="宋体" w:hAnsi="宋体"/>
          <w:sz w:val="24"/>
        </w:rPr>
        <w:t>12.</w:t>
      </w:r>
      <w:r>
        <w:rPr>
          <w:rFonts w:ascii="宋体" w:hAnsi="宋体"/>
          <w:sz w:val="24"/>
        </w:rPr>
        <w:t>1</w:t>
      </w:r>
      <w:r>
        <w:rPr>
          <w:rFonts w:hint="eastAsia" w:ascii="宋体" w:hAnsi="宋体"/>
          <w:sz w:val="24"/>
        </w:rPr>
        <w:t xml:space="preserve"> 未尽事宜，甲乙双方友好协商解决。</w:t>
      </w:r>
    </w:p>
    <w:p w14:paraId="11A38D03">
      <w:pPr>
        <w:adjustRightInd w:val="0"/>
        <w:snapToGrid w:val="0"/>
        <w:spacing w:line="360" w:lineRule="auto"/>
        <w:rPr>
          <w:rFonts w:hint="eastAsia" w:ascii="宋体" w:hAnsi="宋体"/>
          <w:sz w:val="24"/>
        </w:rPr>
      </w:pPr>
      <w:r>
        <w:rPr>
          <w:rFonts w:hint="eastAsia" w:ascii="宋体" w:hAnsi="宋体"/>
          <w:sz w:val="24"/>
        </w:rPr>
        <w:t>12.</w:t>
      </w:r>
      <w:r>
        <w:rPr>
          <w:rFonts w:ascii="宋体" w:hAnsi="宋体"/>
          <w:sz w:val="24"/>
        </w:rPr>
        <w:t>2</w:t>
      </w:r>
      <w:r>
        <w:rPr>
          <w:rFonts w:hint="eastAsia" w:ascii="宋体" w:hAnsi="宋体"/>
          <w:sz w:val="24"/>
        </w:rPr>
        <w:t xml:space="preserve"> 一式肆份甲方执贰份，乙方执贰份，本协议双方签字盖章后生效。</w:t>
      </w:r>
    </w:p>
    <w:p w14:paraId="1A07323A">
      <w:pPr>
        <w:adjustRightInd w:val="0"/>
        <w:snapToGrid w:val="0"/>
        <w:spacing w:line="360" w:lineRule="auto"/>
        <w:rPr>
          <w:rFonts w:hint="eastAsia" w:ascii="宋体" w:hAnsi="宋体"/>
          <w:kern w:val="0"/>
          <w:sz w:val="28"/>
          <w:szCs w:val="28"/>
        </w:rPr>
      </w:pPr>
      <w:r>
        <w:rPr>
          <w:rFonts w:hint="eastAsia" w:ascii="宋体" w:hAnsi="宋体"/>
          <w:sz w:val="24"/>
        </w:rPr>
        <w:t>12.3 本技术协议作为商务合同的一部分，与商务合同具有同等法律效力。</w:t>
      </w:r>
    </w:p>
    <w:p w14:paraId="57ED3EB0">
      <w:pPr>
        <w:rPr>
          <w:b/>
          <w:bCs/>
          <w:sz w:val="24"/>
        </w:rPr>
      </w:pPr>
      <w:bookmarkStart w:id="133" w:name="_Toc4693"/>
    </w:p>
    <w:p w14:paraId="78E455BE">
      <w:pPr>
        <w:rPr>
          <w:b/>
          <w:bCs/>
          <w:sz w:val="24"/>
        </w:rPr>
        <w:sectPr>
          <w:pgSz w:w="11906" w:h="16838"/>
          <w:pgMar w:top="1440" w:right="1800" w:bottom="1440" w:left="1800" w:header="851" w:footer="992" w:gutter="0"/>
          <w:pgNumType w:start="1"/>
          <w:cols w:space="720" w:num="1"/>
          <w:docGrid w:type="lines" w:linePitch="312" w:charSpace="0"/>
        </w:sectPr>
      </w:pPr>
    </w:p>
    <w:p w14:paraId="218374E5">
      <w:pPr>
        <w:rPr>
          <w:b/>
          <w:bCs/>
          <w:sz w:val="24"/>
        </w:rPr>
      </w:pPr>
      <w:r>
        <w:rPr>
          <w:rFonts w:hint="eastAsia"/>
          <w:b/>
          <w:bCs/>
          <w:sz w:val="24"/>
        </w:rPr>
        <w:t>甲方：</w:t>
      </w:r>
      <w:r>
        <w:rPr>
          <w:rFonts w:hint="eastAsia"/>
          <w:b/>
          <w:bCs/>
          <w:sz w:val="24"/>
        </w:rPr>
        <w:fldChar w:fldCharType="begin"/>
      </w:r>
      <w:r>
        <w:rPr>
          <w:rFonts w:hint="eastAsia"/>
          <w:b/>
          <w:bCs/>
          <w:sz w:val="24"/>
        </w:rPr>
        <w:instrText xml:space="preserve"> HYPERLINK "javascript:void(0)" \o "山东滨华新材料有限公司" </w:instrText>
      </w:r>
      <w:r>
        <w:rPr>
          <w:rFonts w:hint="eastAsia"/>
          <w:b/>
          <w:bCs/>
          <w:sz w:val="24"/>
        </w:rPr>
        <w:fldChar w:fldCharType="separate"/>
      </w:r>
      <w:r>
        <w:rPr>
          <w:rFonts w:hint="eastAsia"/>
          <w:b/>
          <w:bCs/>
          <w:sz w:val="24"/>
        </w:rPr>
        <w:t>山东滨华新材料有限公司</w:t>
      </w:r>
      <w:r>
        <w:rPr>
          <w:rFonts w:hint="eastAsia"/>
          <w:b/>
          <w:bCs/>
          <w:sz w:val="24"/>
        </w:rPr>
        <w:fldChar w:fldCharType="end"/>
      </w:r>
      <w:r>
        <w:rPr>
          <w:rFonts w:hint="eastAsia"/>
          <w:b/>
          <w:bCs/>
          <w:sz w:val="24"/>
        </w:rPr>
        <w:t xml:space="preserve">       乙方：</w:t>
      </w:r>
      <w:bookmarkEnd w:id="133"/>
    </w:p>
    <w:p w14:paraId="6D1A94EB">
      <w:pPr>
        <w:rPr>
          <w:b/>
          <w:bCs/>
          <w:sz w:val="24"/>
        </w:rPr>
      </w:pPr>
    </w:p>
    <w:p w14:paraId="52A2CBDB">
      <w:pPr>
        <w:rPr>
          <w:b/>
          <w:bCs/>
          <w:sz w:val="24"/>
        </w:rPr>
      </w:pPr>
      <w:bookmarkStart w:id="134" w:name="_Toc5527"/>
      <w:r>
        <w:rPr>
          <w:rFonts w:hint="eastAsia"/>
          <w:b/>
          <w:bCs/>
          <w:sz w:val="24"/>
        </w:rPr>
        <w:t>代表签字：                       代表签字：</w:t>
      </w:r>
      <w:bookmarkEnd w:id="134"/>
    </w:p>
    <w:p w14:paraId="5BA0DDA2">
      <w:pPr>
        <w:rPr>
          <w:b/>
          <w:bCs/>
          <w:sz w:val="24"/>
        </w:rPr>
      </w:pPr>
    </w:p>
    <w:p w14:paraId="62F9547C">
      <w:bookmarkStart w:id="135" w:name="_Toc29887"/>
      <w:r>
        <w:rPr>
          <w:rFonts w:hint="eastAsia"/>
          <w:b/>
          <w:bCs/>
          <w:sz w:val="24"/>
        </w:rPr>
        <w:t>时间：                           时间 ：</w:t>
      </w:r>
      <w:bookmarkEnd w:id="135"/>
      <w:r>
        <w:rPr>
          <w:rFonts w:hint="eastAsia"/>
          <w:b/>
          <w:bCs/>
          <w:sz w:val="24"/>
        </w:rPr>
        <w:t xml:space="preserve"> </w:t>
      </w:r>
    </w:p>
    <w:p w14:paraId="368A1F39"/>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6C7A">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8A902F">
                          <w:pPr>
                            <w:pStyle w:val="7"/>
                            <w:rPr>
                              <w:rStyle w:val="14"/>
                            </w:rPr>
                          </w:pPr>
                          <w:r>
                            <w:fldChar w:fldCharType="begin"/>
                          </w:r>
                          <w:r>
                            <w:rPr>
                              <w:rStyle w:val="14"/>
                            </w:rPr>
                            <w:instrText xml:space="preserve">PAGE  </w:instrText>
                          </w:r>
                          <w:r>
                            <w:fldChar w:fldCharType="separate"/>
                          </w:r>
                          <w:r>
                            <w:rPr>
                              <w:rStyle w:val="14"/>
                            </w:rPr>
                            <w:t>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68A902F">
                    <w:pPr>
                      <w:pStyle w:val="7"/>
                      <w:rPr>
                        <w:rStyle w:val="14"/>
                      </w:rPr>
                    </w:pPr>
                    <w:r>
                      <w:fldChar w:fldCharType="begin"/>
                    </w:r>
                    <w:r>
                      <w:rPr>
                        <w:rStyle w:val="14"/>
                      </w:rPr>
                      <w:instrText xml:space="preserve">PAGE  </w:instrText>
                    </w:r>
                    <w:r>
                      <w:fldChar w:fldCharType="separate"/>
                    </w:r>
                    <w:r>
                      <w:rPr>
                        <w:rStyle w:val="14"/>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AB9F7">
    <w:pPr>
      <w:pStyle w:val="7"/>
      <w:framePr w:wrap="around" w:vAnchor="text" w:hAnchor="margin" w:xAlign="right" w:y="1"/>
      <w:rPr>
        <w:rStyle w:val="14"/>
      </w:rPr>
    </w:pPr>
    <w:r>
      <w:fldChar w:fldCharType="begin"/>
    </w:r>
    <w:r>
      <w:rPr>
        <w:rStyle w:val="14"/>
      </w:rPr>
      <w:instrText xml:space="preserve">PAGE  </w:instrText>
    </w:r>
    <w:r>
      <w:fldChar w:fldCharType="end"/>
    </w:r>
  </w:p>
  <w:p w14:paraId="21B6C44E">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29541">
    <w:pPr>
      <w:pStyle w:val="7"/>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532492">
                          <w:pPr>
                            <w:pStyle w:val="7"/>
                            <w:rPr>
                              <w:rStyle w:val="14"/>
                            </w:rPr>
                          </w:pPr>
                          <w:r>
                            <w:fldChar w:fldCharType="begin"/>
                          </w:r>
                          <w:r>
                            <w:rPr>
                              <w:rStyle w:val="14"/>
                            </w:rPr>
                            <w:instrText xml:space="preserve">PAGE  </w:instrText>
                          </w:r>
                          <w:r>
                            <w:fldChar w:fldCharType="separate"/>
                          </w:r>
                          <w:r>
                            <w:rPr>
                              <w:rStyle w:val="14"/>
                            </w:rPr>
                            <w:t>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25532492">
                    <w:pPr>
                      <w:pStyle w:val="7"/>
                      <w:rPr>
                        <w:rStyle w:val="14"/>
                      </w:rPr>
                    </w:pPr>
                    <w:r>
                      <w:fldChar w:fldCharType="begin"/>
                    </w:r>
                    <w:r>
                      <w:rPr>
                        <w:rStyle w:val="14"/>
                      </w:rPr>
                      <w:instrText xml:space="preserve">PAGE  </w:instrText>
                    </w:r>
                    <w:r>
                      <w:fldChar w:fldCharType="separate"/>
                    </w:r>
                    <w:r>
                      <w:rPr>
                        <w:rStyle w:val="14"/>
                      </w:rP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5E355">
    <w:pPr>
      <w:pStyle w:val="8"/>
      <w:pBdr>
        <w:bottom w:val="none" w:color="auto" w:sz="0" w:space="0"/>
      </w:pBdr>
    </w:pPr>
    <w:r>
      <w:rPr>
        <w:sz w:val="18"/>
      </w:rPr>
      <w:pict>
        <v:shape id="PowerPlusWaterMarkObject7620377" o:spid="_x0000_s4097" o:spt="136" type="#_x0000_t136" style="position:absolute;left:0pt;margin-left:502.8pt;margin-top:347.55pt;height:10pt;width:124pt;mso-position-horizontal-relative:margin;mso-position-vertical-relative:margin;rotation:-2949120f;z-index:-2516398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7312548" o:spid="_x0000_s4098" o:spt="136" type="#_x0000_t136" style="position:absolute;left:0pt;margin-left:400.95pt;margin-top:449.4pt;height:10pt;width:124pt;mso-position-horizontal-relative:margin;mso-position-vertical-relative:margin;rotation:-2949120f;z-index:-2516408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6706112" o:spid="_x0000_s4099" o:spt="136" type="#_x0000_t136" style="position:absolute;left:0pt;margin-left:299.15pt;margin-top:551.2pt;height:10pt;width:124pt;mso-position-horizontal-relative:margin;mso-position-vertical-relative:margin;rotation:-2949120f;z-index:-2516418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6449071" o:spid="_x0000_s4100" o:spt="136" type="#_x0000_t136" style="position:absolute;left:0pt;margin-left:197.3pt;margin-top:653.05pt;height:10pt;width:124pt;mso-position-horizontal-relative:margin;mso-position-vertical-relative:margin;rotation:-2949120f;z-index:-2516428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5955568" o:spid="_x0000_s4101" o:spt="136" type="#_x0000_t136" style="position:absolute;left:0pt;margin-left:95.5pt;margin-top:754.85pt;height:10pt;width:124pt;mso-position-horizontal-relative:margin;mso-position-vertical-relative:margin;rotation:-2949120f;z-index:-2516439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5773789" o:spid="_x0000_s4102" o:spt="136" type="#_x0000_t136" style="position:absolute;left:0pt;margin-left:502.8pt;margin-top:-11.75pt;height:10pt;width:124pt;mso-position-horizontal-relative:margin;mso-position-vertical-relative:margin;rotation:-2949120f;z-index:-2516449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5407546" o:spid="_x0000_s4103" o:spt="136" type="#_x0000_t136" style="position:absolute;left:0pt;margin-left:400.95pt;margin-top:90.1pt;height:10pt;width:124pt;mso-position-horizontal-relative:margin;mso-position-vertical-relative:margin;rotation:-2949120f;z-index:-2516459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4495348" o:spid="_x0000_s4104" o:spt="136" type="#_x0000_t136" style="position:absolute;left:0pt;margin-left:299.15pt;margin-top:191.9pt;height:10pt;width:124pt;mso-position-horizontal-relative:margin;mso-position-vertical-relative:margin;rotation:-2949120f;z-index:-2516469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4401123" o:spid="_x0000_s4105" o:spt="136" type="#_x0000_t136" style="position:absolute;left:0pt;margin-left:197.3pt;margin-top:293.75pt;height:10pt;width:124pt;mso-position-horizontal-relative:margin;mso-position-vertical-relative:margin;rotation:-2949120f;z-index:-2516480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4032436" o:spid="_x0000_s4106" o:spt="136" type="#_x0000_t136" style="position:absolute;left:0pt;margin-left:95.5pt;margin-top:395.55pt;height:10pt;width:124pt;mso-position-horizontal-relative:margin;mso-position-vertical-relative:margin;rotation:-2949120f;z-index:-2516490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3910767" o:spid="_x0000_s4107" o:spt="136" type="#_x0000_t136" style="position:absolute;left:0pt;margin-left:-6.35pt;margin-top:497.4pt;height:10pt;width:124pt;mso-position-horizontal-relative:margin;mso-position-vertical-relative:margin;rotation:-2949120f;z-index:-2516500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3036455" o:spid="_x0000_s4108" o:spt="136" type="#_x0000_t136" style="position:absolute;left:0pt;margin-left:-108.15pt;margin-top:599.2pt;height:10pt;width:124pt;mso-position-horizontal-relative:margin;mso-position-vertical-relative:margin;rotation:-2949120f;z-index:-2516510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2708410" o:spid="_x0000_s4109" o:spt="136" type="#_x0000_t136" style="position:absolute;left:0pt;margin-left:197.3pt;margin-top:-65.55pt;height:10pt;width:124pt;mso-position-horizontal-relative:margin;mso-position-vertical-relative:margin;rotation:-2949120f;z-index:-2516520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1898613" o:spid="_x0000_s4110" o:spt="136" type="#_x0000_t136" style="position:absolute;left:0pt;margin-left:95.5pt;margin-top:36.25pt;height:10pt;width:124pt;mso-position-horizontal-relative:margin;mso-position-vertical-relative:margin;rotation:-2949120f;z-index:-2516531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1768995" o:spid="_x0000_s4111" o:spt="136" type="#_x0000_t136" style="position:absolute;left:0pt;margin-left:-6.35pt;margin-top:138.1pt;height:10pt;width:124pt;mso-position-horizontal-relative:margin;mso-position-vertical-relative:margin;rotation:-2949120f;z-index:-2516541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r>
      <w:rPr>
        <w:sz w:val="18"/>
      </w:rPr>
      <w:pict>
        <v:shape id="PowerPlusWaterMarkObject992260" o:spid="_x0000_s4112" o:spt="136" type="#_x0000_t136" style="position:absolute;left:0pt;margin-left:-108.15pt;margin-top:239.9pt;height:10pt;width:124pt;mso-position-horizontal-relative:margin;mso-position-vertical-relative:margin;rotation:-2949120f;z-index:-2516551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8-1310:47:53" style="font-family:瀹嬩綋;font-size:10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7D751"/>
    <w:multiLevelType w:val="singleLevel"/>
    <w:tmpl w:val="E6A7D751"/>
    <w:lvl w:ilvl="0" w:tentative="0">
      <w:start w:val="1"/>
      <w:numFmt w:val="bullet"/>
      <w:lvlText w:val=""/>
      <w:lvlJc w:val="left"/>
      <w:pPr>
        <w:ind w:left="420" w:hanging="420"/>
      </w:pPr>
      <w:rPr>
        <w:rFonts w:hint="default" w:ascii="Wingdings" w:hAnsi="Wingdings"/>
      </w:rPr>
    </w:lvl>
  </w:abstractNum>
  <w:abstractNum w:abstractNumId="1">
    <w:nsid w:val="3A589CFB"/>
    <w:multiLevelType w:val="singleLevel"/>
    <w:tmpl w:val="3A589CFB"/>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yNWU2YWJiZGI2YjllNzk5ZmMzYmI2YmVjY2RkNjkifQ=="/>
  </w:docVars>
  <w:rsids>
    <w:rsidRoot w:val="00C82C5B"/>
    <w:rsid w:val="0001561B"/>
    <w:rsid w:val="000175BC"/>
    <w:rsid w:val="000B531B"/>
    <w:rsid w:val="000D50FB"/>
    <w:rsid w:val="00111C43"/>
    <w:rsid w:val="001C379B"/>
    <w:rsid w:val="001F28DE"/>
    <w:rsid w:val="002013CB"/>
    <w:rsid w:val="002109FA"/>
    <w:rsid w:val="00217C64"/>
    <w:rsid w:val="00250B59"/>
    <w:rsid w:val="00294E21"/>
    <w:rsid w:val="002A460B"/>
    <w:rsid w:val="002A6E62"/>
    <w:rsid w:val="002F46E8"/>
    <w:rsid w:val="0031312C"/>
    <w:rsid w:val="003B219E"/>
    <w:rsid w:val="00457059"/>
    <w:rsid w:val="00485FCA"/>
    <w:rsid w:val="00490882"/>
    <w:rsid w:val="004D2775"/>
    <w:rsid w:val="005F0CAD"/>
    <w:rsid w:val="006340E4"/>
    <w:rsid w:val="006438EE"/>
    <w:rsid w:val="006B6A2F"/>
    <w:rsid w:val="006C764B"/>
    <w:rsid w:val="0078145B"/>
    <w:rsid w:val="007F6468"/>
    <w:rsid w:val="007F7D6F"/>
    <w:rsid w:val="00852F42"/>
    <w:rsid w:val="00905C77"/>
    <w:rsid w:val="00906115"/>
    <w:rsid w:val="0095561D"/>
    <w:rsid w:val="00990EF7"/>
    <w:rsid w:val="00A0651E"/>
    <w:rsid w:val="00A21200"/>
    <w:rsid w:val="00A31C1A"/>
    <w:rsid w:val="00A51DEE"/>
    <w:rsid w:val="00A54C70"/>
    <w:rsid w:val="00B06375"/>
    <w:rsid w:val="00B24198"/>
    <w:rsid w:val="00B3042B"/>
    <w:rsid w:val="00C34BCA"/>
    <w:rsid w:val="00C82C5B"/>
    <w:rsid w:val="00C906C2"/>
    <w:rsid w:val="00CD1DE5"/>
    <w:rsid w:val="00CD75F7"/>
    <w:rsid w:val="00CE1CF0"/>
    <w:rsid w:val="00CE31B1"/>
    <w:rsid w:val="00CE6E6C"/>
    <w:rsid w:val="00CF3F51"/>
    <w:rsid w:val="00D87838"/>
    <w:rsid w:val="00DF17F2"/>
    <w:rsid w:val="00E35FF5"/>
    <w:rsid w:val="00F51CA4"/>
    <w:rsid w:val="00F718F9"/>
    <w:rsid w:val="00F96260"/>
    <w:rsid w:val="00FB1F58"/>
    <w:rsid w:val="00FC6FE4"/>
    <w:rsid w:val="02E46D6A"/>
    <w:rsid w:val="12E91063"/>
    <w:rsid w:val="14217B50"/>
    <w:rsid w:val="22355A6C"/>
    <w:rsid w:val="261749D9"/>
    <w:rsid w:val="27F63C51"/>
    <w:rsid w:val="285C7C0F"/>
    <w:rsid w:val="3A0166A3"/>
    <w:rsid w:val="3C66225A"/>
    <w:rsid w:val="433A2C6B"/>
    <w:rsid w:val="45EC669C"/>
    <w:rsid w:val="50454464"/>
    <w:rsid w:val="522571A9"/>
    <w:rsid w:val="67B94EA5"/>
    <w:rsid w:val="744E5160"/>
    <w:rsid w:val="74DC2C28"/>
    <w:rsid w:val="7B707D38"/>
    <w:rsid w:val="7C496A8C"/>
    <w:rsid w:val="D3FFE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after="120"/>
    </w:pPr>
  </w:style>
  <w:style w:type="paragraph" w:styleId="5">
    <w:name w:val="Body Text Indent"/>
    <w:basedOn w:val="1"/>
    <w:qFormat/>
    <w:uiPriority w:val="0"/>
    <w:pPr>
      <w:spacing w:line="360" w:lineRule="auto"/>
      <w:ind w:firstLine="560"/>
    </w:pPr>
    <w:rPr>
      <w:sz w:val="24"/>
      <w:szCs w:val="20"/>
    </w:rPr>
  </w:style>
  <w:style w:type="paragraph" w:styleId="6">
    <w:name w:val="Date"/>
    <w:basedOn w:val="1"/>
    <w:next w:val="1"/>
    <w:link w:val="21"/>
    <w:qFormat/>
    <w:uiPriority w:val="0"/>
    <w:pPr>
      <w:ind w:left="100" w:leftChars="25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right" w:leader="dot" w:pos="9628"/>
      </w:tabs>
    </w:pPr>
    <w:rPr>
      <w:szCs w:val="20"/>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basedOn w:val="13"/>
    <w:qFormat/>
    <w:uiPriority w:val="0"/>
  </w:style>
  <w:style w:type="character" w:styleId="15">
    <w:name w:val="Hyperlink"/>
    <w:basedOn w:val="13"/>
    <w:unhideWhenUsed/>
    <w:uiPriority w:val="99"/>
    <w:rPr>
      <w:color w:val="0026E5" w:themeColor="hyperlink"/>
      <w:u w:val="single"/>
      <w14:textFill>
        <w14:solidFill>
          <w14:schemeClr w14:val="hlink"/>
        </w14:solidFill>
      </w14:textFill>
    </w:rPr>
  </w:style>
  <w:style w:type="paragraph" w:customStyle="1" w:styleId="16">
    <w:name w:val="样式 编号-正文章条2级标题(进目录) + (符号) 宋体 行距: 固定值 22 磅"/>
    <w:basedOn w:val="1"/>
    <w:qFormat/>
    <w:uiPriority w:val="0"/>
    <w:pPr>
      <w:numPr>
        <w:ilvl w:val="1"/>
        <w:numId w:val="1"/>
      </w:numPr>
      <w:tabs>
        <w:tab w:val="left" w:pos="1875"/>
      </w:tabs>
      <w:spacing w:line="440" w:lineRule="exact"/>
      <w:outlineLvl w:val="1"/>
    </w:pPr>
    <w:rPr>
      <w:rFonts w:ascii="Arial" w:hAnsi="宋体" w:cs="宋体"/>
      <w:sz w:val="24"/>
      <w:szCs w:val="20"/>
    </w:rPr>
  </w:style>
  <w:style w:type="paragraph" w:customStyle="1" w:styleId="17">
    <w:name w:val="样式 编号-正文章条3级标题和2级条(不进目录) + 行距: 固定值 22 磅"/>
    <w:basedOn w:val="1"/>
    <w:qFormat/>
    <w:uiPriority w:val="0"/>
    <w:pPr>
      <w:numPr>
        <w:ilvl w:val="2"/>
        <w:numId w:val="1"/>
      </w:numPr>
      <w:tabs>
        <w:tab w:val="left" w:pos="1260"/>
      </w:tabs>
      <w:spacing w:line="440" w:lineRule="exact"/>
      <w:outlineLvl w:val="2"/>
    </w:pPr>
    <w:rPr>
      <w:rFonts w:ascii="Arial" w:hAnsi="Arial" w:cs="宋体"/>
      <w:sz w:val="24"/>
      <w:szCs w:val="20"/>
    </w:rPr>
  </w:style>
  <w:style w:type="paragraph" w:customStyle="1" w:styleId="18">
    <w:name w:val="样式 编号-正文章条2级标题(进目录) + (符号) 宋体 小型大写字母 行距: 固定值 22 磅"/>
    <w:basedOn w:val="1"/>
    <w:qFormat/>
    <w:uiPriority w:val="0"/>
    <w:pPr>
      <w:numPr>
        <w:ilvl w:val="1"/>
        <w:numId w:val="1"/>
      </w:numPr>
      <w:tabs>
        <w:tab w:val="left" w:pos="1875"/>
      </w:tabs>
      <w:spacing w:line="440" w:lineRule="exact"/>
      <w:outlineLvl w:val="1"/>
    </w:pPr>
    <w:rPr>
      <w:rFonts w:ascii="Arial" w:hAnsi="宋体" w:cs="宋体"/>
      <w:smallCaps/>
      <w:sz w:val="24"/>
      <w:szCs w:val="20"/>
    </w:rPr>
  </w:style>
  <w:style w:type="paragraph" w:customStyle="1" w:styleId="19">
    <w:name w:val="p0"/>
    <w:basedOn w:val="1"/>
    <w:qFormat/>
    <w:uiPriority w:val="0"/>
    <w:pPr>
      <w:widowControl/>
    </w:pPr>
    <w:rPr>
      <w:rFonts w:cs="宋体"/>
      <w:kern w:val="0"/>
      <w:szCs w:val="21"/>
    </w:rPr>
  </w:style>
  <w:style w:type="paragraph" w:customStyle="1" w:styleId="20">
    <w:name w:val="列出段落1"/>
    <w:basedOn w:val="1"/>
    <w:qFormat/>
    <w:uiPriority w:val="34"/>
    <w:pPr>
      <w:ind w:firstLine="420" w:firstLineChars="200"/>
    </w:pPr>
  </w:style>
  <w:style w:type="character" w:customStyle="1" w:styleId="21">
    <w:name w:val="日期 字符"/>
    <w:basedOn w:val="13"/>
    <w:link w:val="6"/>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2223</Words>
  <Characters>2789</Characters>
  <Lines>76</Lines>
  <Paragraphs>21</Paragraphs>
  <TotalTime>856</TotalTime>
  <ScaleCrop>false</ScaleCrop>
  <LinksUpToDate>false</LinksUpToDate>
  <CharactersWithSpaces>3102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2024-08-13T16:32:00Z</dcterms:created>
  <dc:creator>Administrator</dc:creator>
  <cp:lastModifiedBy>王煜</cp:lastModifiedBy>
  <dcterms:modified xsi:type="dcterms:W3CDTF">2025-08-13T08:14:53Z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27D9AB9C664446B893F163F8B06F0C4C_12</vt:lpwstr>
  </property>
  <property fmtid="{D5CDD505-2E9C-101B-9397-08002B2CF9AE}" pid="4" name="KSOTemplateDocerSaveRecord">
    <vt:lpwstr>eyJoZGlkIjoiMGFmMzM1OGVkOTdmNTU1YzkxZDcyY2Y2NjMzOWY3MTUiLCJ1c2VySWQiOiIzMjcxMDUwMDMifQ==</vt:lpwstr>
  </property>
</Properties>
</file>